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0643E" w14:textId="77777777" w:rsidR="00A451A1" w:rsidRDefault="00A451A1"/>
    <w:sdt>
      <w:sdtPr>
        <w:rPr>
          <w:rFonts w:asciiTheme="minorHAnsi" w:eastAsiaTheme="minorHAnsi" w:hAnsiTheme="minorHAnsi" w:cstheme="minorBidi"/>
          <w:b w:val="0"/>
          <w:bCs w:val="0"/>
          <w:color w:val="auto"/>
          <w:sz w:val="24"/>
          <w:szCs w:val="24"/>
          <w:lang w:val="en-NG"/>
        </w:rPr>
        <w:id w:val="1234901212"/>
        <w:docPartObj>
          <w:docPartGallery w:val="Table of Contents"/>
          <w:docPartUnique/>
        </w:docPartObj>
      </w:sdtPr>
      <w:sdtEndPr>
        <w:rPr>
          <w:noProof/>
        </w:rPr>
      </w:sdtEndPr>
      <w:sdtContent>
        <w:p w14:paraId="240ACB49" w14:textId="06FE3916" w:rsidR="00A451A1" w:rsidRDefault="00A451A1">
          <w:pPr>
            <w:pStyle w:val="TOCHeading"/>
          </w:pPr>
        </w:p>
        <w:p w14:paraId="514BB7CB" w14:textId="230BEE65" w:rsidR="00025570" w:rsidRDefault="00025570">
          <w:pPr>
            <w:pStyle w:val="TOC2"/>
            <w:tabs>
              <w:tab w:val="right" w:pos="9016"/>
            </w:tabs>
            <w:rPr>
              <w:rFonts w:eastAsiaTheme="minorEastAsia"/>
              <w:i w:val="0"/>
              <w:iCs w:val="0"/>
              <w:noProof/>
              <w:sz w:val="24"/>
              <w:szCs w:val="24"/>
              <w:lang w:eastAsia="en-GB"/>
            </w:rPr>
          </w:pPr>
          <w:r>
            <w:rPr>
              <w:i w:val="0"/>
              <w:iCs w:val="0"/>
              <w:smallCaps/>
            </w:rPr>
            <w:fldChar w:fldCharType="begin"/>
          </w:r>
          <w:r>
            <w:rPr>
              <w:i w:val="0"/>
              <w:iCs w:val="0"/>
              <w:smallCaps/>
            </w:rPr>
            <w:instrText xml:space="preserve"> TOC \o "1-3" \n \p " " \h \z \u </w:instrText>
          </w:r>
          <w:r>
            <w:rPr>
              <w:i w:val="0"/>
              <w:iCs w:val="0"/>
              <w:smallCaps/>
            </w:rPr>
            <w:fldChar w:fldCharType="separate"/>
          </w:r>
          <w:hyperlink w:anchor="_Toc102414957" w:history="1">
            <w:r w:rsidRPr="005C2DA7">
              <w:rPr>
                <w:rStyle w:val="Hyperlink"/>
                <w:noProof/>
              </w:rPr>
              <w:t>Master of Science in Pharmacovigilance (Full Time)</w:t>
            </w:r>
          </w:hyperlink>
        </w:p>
        <w:p w14:paraId="60D6B4D2" w14:textId="7CB9EBC3" w:rsidR="00025570" w:rsidRDefault="00025570">
          <w:pPr>
            <w:pStyle w:val="TOC2"/>
            <w:tabs>
              <w:tab w:val="right" w:pos="9016"/>
            </w:tabs>
            <w:rPr>
              <w:rFonts w:eastAsiaTheme="minorEastAsia"/>
              <w:i w:val="0"/>
              <w:iCs w:val="0"/>
              <w:noProof/>
              <w:sz w:val="24"/>
              <w:szCs w:val="24"/>
              <w:lang w:eastAsia="en-GB"/>
            </w:rPr>
          </w:pPr>
          <w:hyperlink w:anchor="_Toc102414958" w:history="1">
            <w:r w:rsidRPr="005C2DA7">
              <w:rPr>
                <w:rStyle w:val="Hyperlink"/>
                <w:noProof/>
              </w:rPr>
              <w:t>About the Programme</w:t>
            </w:r>
          </w:hyperlink>
        </w:p>
        <w:p w14:paraId="27E3C078" w14:textId="41FD9F0F" w:rsidR="00025570" w:rsidRDefault="00025570">
          <w:pPr>
            <w:pStyle w:val="TOC3"/>
            <w:tabs>
              <w:tab w:val="right" w:pos="9016"/>
            </w:tabs>
            <w:rPr>
              <w:rFonts w:eastAsiaTheme="minorEastAsia"/>
              <w:noProof/>
              <w:sz w:val="24"/>
              <w:szCs w:val="24"/>
              <w:lang w:eastAsia="en-GB"/>
            </w:rPr>
          </w:pPr>
          <w:hyperlink w:anchor="_Toc102414959" w:history="1">
            <w:r w:rsidRPr="005C2DA7">
              <w:rPr>
                <w:rStyle w:val="Hyperlink"/>
                <w:b/>
                <w:noProof/>
              </w:rPr>
              <w:t>Admission Requirements</w:t>
            </w:r>
          </w:hyperlink>
        </w:p>
        <w:p w14:paraId="675B8FD0" w14:textId="5B7E83AF" w:rsidR="00025570" w:rsidRDefault="00025570">
          <w:pPr>
            <w:pStyle w:val="TOC3"/>
            <w:tabs>
              <w:tab w:val="right" w:pos="9016"/>
            </w:tabs>
            <w:rPr>
              <w:rFonts w:eastAsiaTheme="minorEastAsia"/>
              <w:noProof/>
              <w:sz w:val="24"/>
              <w:szCs w:val="24"/>
              <w:lang w:eastAsia="en-GB"/>
            </w:rPr>
          </w:pPr>
          <w:hyperlink w:anchor="_Toc102414960" w:history="1">
            <w:r w:rsidRPr="005C2DA7">
              <w:rPr>
                <w:rStyle w:val="Hyperlink"/>
                <w:b/>
                <w:noProof/>
              </w:rPr>
              <w:t>Graduation Requirements</w:t>
            </w:r>
          </w:hyperlink>
        </w:p>
        <w:p w14:paraId="3EA8FEB2" w14:textId="425FB152" w:rsidR="00025570" w:rsidRDefault="00025570">
          <w:pPr>
            <w:pStyle w:val="TOC3"/>
            <w:tabs>
              <w:tab w:val="right" w:pos="9016"/>
            </w:tabs>
            <w:rPr>
              <w:rFonts w:eastAsiaTheme="minorEastAsia"/>
              <w:noProof/>
              <w:sz w:val="24"/>
              <w:szCs w:val="24"/>
              <w:lang w:eastAsia="en-GB"/>
            </w:rPr>
          </w:pPr>
          <w:hyperlink w:anchor="_Toc102414961" w:history="1">
            <w:r w:rsidRPr="005C2DA7">
              <w:rPr>
                <w:rStyle w:val="Hyperlink"/>
                <w:b/>
                <w:noProof/>
              </w:rPr>
              <w:t>List of Courses and No of Units by Levels in tabular form</w:t>
            </w:r>
          </w:hyperlink>
        </w:p>
        <w:p w14:paraId="743FCE39" w14:textId="026CA977" w:rsidR="00025570" w:rsidRDefault="00025570">
          <w:pPr>
            <w:pStyle w:val="TOC3"/>
            <w:tabs>
              <w:tab w:val="right" w:pos="9016"/>
            </w:tabs>
            <w:rPr>
              <w:rFonts w:eastAsiaTheme="minorEastAsia"/>
              <w:noProof/>
              <w:sz w:val="24"/>
              <w:szCs w:val="24"/>
              <w:lang w:eastAsia="en-GB"/>
            </w:rPr>
          </w:pPr>
          <w:hyperlink w:anchor="_Toc102414962" w:history="1">
            <w:r w:rsidRPr="005C2DA7">
              <w:rPr>
                <w:rStyle w:val="Hyperlink"/>
                <w:noProof/>
              </w:rPr>
              <w:t>Summary of number of units compulsory and elective courses to be taken/available at each Level</w:t>
            </w:r>
          </w:hyperlink>
        </w:p>
        <w:p w14:paraId="4ED75F8F" w14:textId="317CED59" w:rsidR="00025570" w:rsidRDefault="00025570">
          <w:pPr>
            <w:pStyle w:val="TOC3"/>
            <w:tabs>
              <w:tab w:val="right" w:pos="9016"/>
            </w:tabs>
            <w:rPr>
              <w:rFonts w:eastAsiaTheme="minorEastAsia"/>
              <w:noProof/>
              <w:sz w:val="24"/>
              <w:szCs w:val="24"/>
              <w:lang w:eastAsia="en-GB"/>
            </w:rPr>
          </w:pPr>
          <w:hyperlink w:anchor="_Toc102414963" w:history="1">
            <w:r w:rsidRPr="005C2DA7">
              <w:rPr>
                <w:rStyle w:val="Hyperlink"/>
                <w:b/>
                <w:noProof/>
              </w:rPr>
              <w:t>Course Contents/Description</w:t>
            </w:r>
          </w:hyperlink>
        </w:p>
        <w:p w14:paraId="4D25720E" w14:textId="3779DEB8" w:rsidR="00A451A1" w:rsidRDefault="00025570">
          <w:r>
            <w:rPr>
              <w:i/>
              <w:iCs/>
              <w:smallCaps/>
              <w:sz w:val="20"/>
              <w:szCs w:val="20"/>
            </w:rPr>
            <w:fldChar w:fldCharType="end"/>
          </w:r>
        </w:p>
      </w:sdtContent>
    </w:sdt>
    <w:p w14:paraId="23475CB3" w14:textId="32FDE6EA" w:rsidR="009F22D3" w:rsidRDefault="009F22D3">
      <w:r>
        <w:br w:type="page"/>
      </w:r>
    </w:p>
    <w:p w14:paraId="6187D845" w14:textId="3380C574" w:rsidR="00501053" w:rsidRDefault="00501053"/>
    <w:p w14:paraId="6E700B5F" w14:textId="77777777" w:rsidR="009F22D3" w:rsidRPr="007F163A" w:rsidRDefault="009F22D3" w:rsidP="009F22D3">
      <w:pPr>
        <w:pStyle w:val="Heading2"/>
        <w:rPr>
          <w:sz w:val="22"/>
          <w:szCs w:val="24"/>
        </w:rPr>
      </w:pPr>
      <w:bookmarkStart w:id="0" w:name="_Toc97749143"/>
      <w:bookmarkStart w:id="1" w:name="_Toc102414957"/>
      <w:r w:rsidRPr="007F163A">
        <w:rPr>
          <w:sz w:val="22"/>
          <w:szCs w:val="24"/>
        </w:rPr>
        <w:t>Master of Science in Pharmacovigilance (Full Time)</w:t>
      </w:r>
      <w:bookmarkEnd w:id="0"/>
      <w:bookmarkEnd w:id="1"/>
    </w:p>
    <w:p w14:paraId="5B712589" w14:textId="77777777" w:rsidR="009F22D3" w:rsidRPr="007F163A" w:rsidRDefault="009F22D3" w:rsidP="009F22D3">
      <w:pPr>
        <w:jc w:val="both"/>
        <w:rPr>
          <w:color w:val="000000"/>
          <w:sz w:val="22"/>
          <w:szCs w:val="22"/>
        </w:rPr>
      </w:pPr>
    </w:p>
    <w:p w14:paraId="1EB9D383" w14:textId="77777777" w:rsidR="009F22D3" w:rsidRDefault="009F22D3" w:rsidP="009F22D3">
      <w:pPr>
        <w:pStyle w:val="Heading2"/>
      </w:pPr>
      <w:bookmarkStart w:id="2" w:name="_Toc102414958"/>
      <w:r>
        <w:t>About the Programme</w:t>
      </w:r>
      <w:bookmarkEnd w:id="2"/>
    </w:p>
    <w:p w14:paraId="59F3FACA" w14:textId="77777777" w:rsidR="009F22D3" w:rsidRDefault="009F22D3" w:rsidP="009F22D3">
      <w:pPr>
        <w:jc w:val="both"/>
        <w:rPr>
          <w:color w:val="000000"/>
          <w:sz w:val="22"/>
          <w:szCs w:val="22"/>
        </w:rPr>
      </w:pPr>
    </w:p>
    <w:p w14:paraId="7FE90C0B" w14:textId="77777777" w:rsidR="009F22D3" w:rsidRPr="007F163A" w:rsidRDefault="009F22D3" w:rsidP="009F22D3">
      <w:pPr>
        <w:jc w:val="both"/>
        <w:rPr>
          <w:color w:val="000000"/>
          <w:sz w:val="22"/>
          <w:szCs w:val="22"/>
        </w:rPr>
      </w:pPr>
      <w:r w:rsidRPr="007F163A">
        <w:rPr>
          <w:color w:val="000000"/>
          <w:sz w:val="22"/>
          <w:szCs w:val="22"/>
        </w:rPr>
        <w:t xml:space="preserve">Pharmacovigilance is an emerging area of medical sciences with focus on assessing adverse drug reactions and improving drug therapy. This pharmacovigilance programme is designed to give students theoretical and practical knowledge in the field of pharmacovigilance. To train individuals that will be relevant to the pharmaceutical industry and health sector in the areas of improving drug </w:t>
      </w:r>
      <w:r w:rsidRPr="007F163A">
        <w:rPr>
          <w:sz w:val="22"/>
          <w:szCs w:val="22"/>
        </w:rPr>
        <w:t xml:space="preserve">and herbal therapy </w:t>
      </w:r>
      <w:r w:rsidRPr="007F163A">
        <w:rPr>
          <w:color w:val="000000"/>
          <w:sz w:val="22"/>
          <w:szCs w:val="22"/>
        </w:rPr>
        <w:t>and minimizing adverse drug reactions. We intend to collaborate with experts from the industries to drive this program.</w:t>
      </w:r>
    </w:p>
    <w:p w14:paraId="2A7FFB15" w14:textId="77777777" w:rsidR="009F22D3" w:rsidRPr="007F163A" w:rsidRDefault="009F22D3" w:rsidP="009F22D3">
      <w:pPr>
        <w:pStyle w:val="Heading3"/>
        <w:numPr>
          <w:ilvl w:val="0"/>
          <w:numId w:val="0"/>
        </w:numPr>
        <w:spacing w:before="0" w:after="0"/>
        <w:rPr>
          <w:sz w:val="22"/>
          <w:szCs w:val="24"/>
        </w:rPr>
      </w:pPr>
    </w:p>
    <w:p w14:paraId="0AD01C7D" w14:textId="77777777" w:rsidR="009F22D3" w:rsidRPr="007F163A" w:rsidRDefault="009F22D3" w:rsidP="009F22D3">
      <w:pPr>
        <w:contextualSpacing/>
        <w:jc w:val="both"/>
        <w:rPr>
          <w:sz w:val="22"/>
          <w:szCs w:val="22"/>
        </w:rPr>
      </w:pPr>
      <w:r w:rsidRPr="007F163A">
        <w:rPr>
          <w:bCs/>
          <w:iCs/>
          <w:sz w:val="22"/>
          <w:szCs w:val="22"/>
        </w:rPr>
        <w:t>The aim is t</w:t>
      </w:r>
      <w:r w:rsidRPr="007F163A">
        <w:rPr>
          <w:sz w:val="22"/>
          <w:szCs w:val="22"/>
        </w:rPr>
        <w:t xml:space="preserve">o train and produce world class professionals, equipped with requisite measures of knowledge and skills in pharmacovigilance that can solve adverse drug reactions related problems.  The programme will </w:t>
      </w:r>
    </w:p>
    <w:p w14:paraId="6CE1A24D" w14:textId="77777777" w:rsidR="009F22D3" w:rsidRPr="007F163A" w:rsidRDefault="009F22D3" w:rsidP="009F22D3">
      <w:pPr>
        <w:pStyle w:val="ListParagraph"/>
        <w:numPr>
          <w:ilvl w:val="0"/>
          <w:numId w:val="2"/>
        </w:numPr>
        <w:ind w:left="709" w:hanging="425"/>
        <w:jc w:val="both"/>
        <w:rPr>
          <w:rFonts w:eastAsia="Source Sans Pro"/>
          <w:color w:val="000000"/>
          <w:sz w:val="22"/>
          <w:szCs w:val="22"/>
          <w:shd w:val="clear" w:color="auto" w:fill="FFFFFF"/>
          <w:lang w:val="en-GB"/>
        </w:rPr>
      </w:pPr>
      <w:r w:rsidRPr="007F163A">
        <w:rPr>
          <w:rFonts w:eastAsia="Source Sans Pro"/>
          <w:color w:val="000000"/>
          <w:sz w:val="22"/>
          <w:szCs w:val="22"/>
          <w:shd w:val="clear" w:color="auto" w:fill="FFFFFF"/>
          <w:lang w:val="en-GB"/>
        </w:rPr>
        <w:t xml:space="preserve">produce </w:t>
      </w:r>
      <w:r w:rsidRPr="007F163A">
        <w:rPr>
          <w:rFonts w:eastAsia="Source Sans Pro"/>
          <w:color w:val="000000"/>
          <w:sz w:val="22"/>
          <w:szCs w:val="22"/>
          <w:shd w:val="clear" w:color="auto" w:fill="FFFFFF"/>
        </w:rPr>
        <w:t xml:space="preserve">skilled and competent Pharmacovigilance professionals who can work effectively at different levels in Pharmacovigilance departments of </w:t>
      </w:r>
      <w:proofErr w:type="gramStart"/>
      <w:r w:rsidRPr="007F163A">
        <w:rPr>
          <w:rFonts w:eastAsia="Source Sans Pro"/>
          <w:color w:val="000000"/>
          <w:sz w:val="22"/>
          <w:szCs w:val="22"/>
          <w:shd w:val="clear" w:color="auto" w:fill="FFFFFF"/>
        </w:rPr>
        <w:t>Pharma</w:t>
      </w:r>
      <w:proofErr w:type="spellStart"/>
      <w:r w:rsidRPr="007F163A">
        <w:rPr>
          <w:rFonts w:eastAsia="Source Sans Pro"/>
          <w:color w:val="000000"/>
          <w:sz w:val="22"/>
          <w:szCs w:val="22"/>
          <w:shd w:val="clear" w:color="auto" w:fill="FFFFFF"/>
          <w:lang w:val="en-GB"/>
        </w:rPr>
        <w:t>ceutical</w:t>
      </w:r>
      <w:proofErr w:type="spellEnd"/>
      <w:proofErr w:type="gramEnd"/>
      <w:r w:rsidRPr="007F163A">
        <w:rPr>
          <w:rFonts w:eastAsia="Source Sans Pro"/>
          <w:color w:val="000000"/>
          <w:sz w:val="22"/>
          <w:szCs w:val="22"/>
          <w:shd w:val="clear" w:color="auto" w:fill="FFFFFF"/>
          <w:lang w:val="en-GB"/>
        </w:rPr>
        <w:t xml:space="preserve"> manufacturing and marketing </w:t>
      </w:r>
      <w:r w:rsidRPr="007F163A">
        <w:rPr>
          <w:rFonts w:eastAsia="Source Sans Pro"/>
          <w:color w:val="000000"/>
          <w:sz w:val="22"/>
          <w:szCs w:val="22"/>
          <w:shd w:val="clear" w:color="auto" w:fill="FFFFFF"/>
        </w:rPr>
        <w:t>companies</w:t>
      </w:r>
      <w:r w:rsidRPr="007F163A">
        <w:rPr>
          <w:rFonts w:eastAsia="Source Sans Pro"/>
          <w:color w:val="000000"/>
          <w:sz w:val="22"/>
          <w:szCs w:val="22"/>
          <w:shd w:val="clear" w:color="auto" w:fill="FFFFFF"/>
          <w:lang w:val="en-GB"/>
        </w:rPr>
        <w:t>, Drug Regulatory Agencies and Health facilities.</w:t>
      </w:r>
    </w:p>
    <w:p w14:paraId="271C5B56" w14:textId="77777777" w:rsidR="009F22D3" w:rsidRPr="007F163A" w:rsidRDefault="009F22D3" w:rsidP="009F22D3">
      <w:pPr>
        <w:pStyle w:val="ListParagraph"/>
        <w:numPr>
          <w:ilvl w:val="0"/>
          <w:numId w:val="2"/>
        </w:numPr>
        <w:ind w:left="709" w:hanging="425"/>
        <w:jc w:val="both"/>
        <w:rPr>
          <w:rFonts w:eastAsia="Source Sans Pro"/>
          <w:color w:val="000000"/>
          <w:sz w:val="22"/>
          <w:szCs w:val="22"/>
          <w:shd w:val="clear" w:color="auto" w:fill="FFFFFF"/>
          <w:lang w:val="en-GB"/>
        </w:rPr>
      </w:pPr>
      <w:r w:rsidRPr="007F163A">
        <w:rPr>
          <w:color w:val="333333"/>
          <w:sz w:val="22"/>
          <w:szCs w:val="22"/>
        </w:rPr>
        <w:t xml:space="preserve">provide training opportunities, and conducting state-of-the-art </w:t>
      </w:r>
      <w:r w:rsidRPr="007F163A">
        <w:rPr>
          <w:color w:val="333333"/>
          <w:sz w:val="22"/>
          <w:szCs w:val="22"/>
          <w:lang w:val="en-GB"/>
        </w:rPr>
        <w:t>pharmacovigilance</w:t>
      </w:r>
      <w:r w:rsidRPr="007F163A">
        <w:rPr>
          <w:color w:val="333333"/>
          <w:sz w:val="22"/>
          <w:szCs w:val="22"/>
        </w:rPr>
        <w:t xml:space="preserve"> research in order to prepare the students for careers in independent research or related careers in academia, industry or government</w:t>
      </w:r>
    </w:p>
    <w:p w14:paraId="05E8B35C" w14:textId="77777777" w:rsidR="009F22D3" w:rsidRPr="007F163A" w:rsidRDefault="009F22D3" w:rsidP="009F22D3">
      <w:pPr>
        <w:pStyle w:val="ListParagraph"/>
        <w:numPr>
          <w:ilvl w:val="0"/>
          <w:numId w:val="2"/>
        </w:numPr>
        <w:ind w:left="709" w:hanging="425"/>
        <w:jc w:val="both"/>
        <w:rPr>
          <w:rFonts w:eastAsia="Source Sans Pro"/>
          <w:color w:val="000000"/>
          <w:sz w:val="22"/>
          <w:szCs w:val="22"/>
          <w:shd w:val="clear" w:color="auto" w:fill="FFFFFF"/>
          <w:lang w:val="en-GB"/>
        </w:rPr>
      </w:pPr>
      <w:r w:rsidRPr="007F163A">
        <w:rPr>
          <w:rFonts w:eastAsia="Source Sans Pro"/>
          <w:sz w:val="22"/>
          <w:szCs w:val="22"/>
          <w:shd w:val="clear" w:color="auto" w:fill="FFFFFF"/>
          <w:lang w:val="en-GB"/>
        </w:rPr>
        <w:t xml:space="preserve">optimise the science of pharmacovigilance through </w:t>
      </w:r>
      <w:r w:rsidRPr="007F163A">
        <w:rPr>
          <w:rFonts w:eastAsia="Source Sans Pro"/>
          <w:color w:val="000000"/>
          <w:sz w:val="22"/>
          <w:szCs w:val="22"/>
          <w:shd w:val="clear" w:color="auto" w:fill="FFFFFF"/>
          <w:lang w:val="en-GB"/>
        </w:rPr>
        <w:t xml:space="preserve">collaboration with drug regulatory agency and health sectors. </w:t>
      </w:r>
    </w:p>
    <w:p w14:paraId="4B357DFA" w14:textId="77777777" w:rsidR="009F22D3" w:rsidRPr="007F163A" w:rsidRDefault="009F22D3" w:rsidP="009F22D3">
      <w:pPr>
        <w:ind w:left="709" w:hanging="425"/>
        <w:jc w:val="both"/>
        <w:rPr>
          <w:bCs/>
          <w:sz w:val="22"/>
          <w:szCs w:val="22"/>
          <w:lang w:val="en-GB"/>
        </w:rPr>
      </w:pPr>
      <w:bookmarkStart w:id="3" w:name="_Hlk76585921"/>
    </w:p>
    <w:p w14:paraId="5E2ECA71" w14:textId="77777777" w:rsidR="009F22D3" w:rsidRPr="007F163A" w:rsidRDefault="009F22D3" w:rsidP="009F22D3">
      <w:pPr>
        <w:jc w:val="both"/>
        <w:rPr>
          <w:rFonts w:eastAsia="&amp;quot"/>
          <w:b/>
          <w:bCs/>
          <w:color w:val="050505"/>
          <w:sz w:val="22"/>
          <w:szCs w:val="22"/>
          <w:lang w:val="en-GB"/>
        </w:rPr>
      </w:pPr>
      <w:r w:rsidRPr="007F163A">
        <w:rPr>
          <w:bCs/>
          <w:sz w:val="22"/>
          <w:szCs w:val="22"/>
          <w:lang w:val="en-GB"/>
        </w:rPr>
        <w:t xml:space="preserve">The graduates of this programme will </w:t>
      </w:r>
    </w:p>
    <w:p w14:paraId="44193D19" w14:textId="77777777" w:rsidR="009F22D3" w:rsidRPr="007F163A" w:rsidRDefault="009F22D3" w:rsidP="009F22D3">
      <w:pPr>
        <w:pStyle w:val="ListParagraph"/>
        <w:numPr>
          <w:ilvl w:val="0"/>
          <w:numId w:val="3"/>
        </w:numPr>
        <w:ind w:left="709" w:hanging="425"/>
        <w:jc w:val="both"/>
        <w:rPr>
          <w:sz w:val="22"/>
          <w:szCs w:val="22"/>
        </w:rPr>
      </w:pPr>
      <w:r w:rsidRPr="007F163A">
        <w:rPr>
          <w:sz w:val="22"/>
          <w:szCs w:val="22"/>
        </w:rPr>
        <w:t xml:space="preserve">Have ability to undertake pharmacovigilance related research </w:t>
      </w:r>
    </w:p>
    <w:p w14:paraId="1749BF14" w14:textId="77777777" w:rsidR="009F22D3" w:rsidRPr="007F163A" w:rsidRDefault="009F22D3" w:rsidP="009F22D3">
      <w:pPr>
        <w:pStyle w:val="ListParagraph"/>
        <w:numPr>
          <w:ilvl w:val="0"/>
          <w:numId w:val="3"/>
        </w:numPr>
        <w:ind w:left="709" w:hanging="425"/>
        <w:jc w:val="both"/>
        <w:rPr>
          <w:sz w:val="22"/>
          <w:szCs w:val="22"/>
        </w:rPr>
      </w:pPr>
      <w:r w:rsidRPr="007F163A">
        <w:rPr>
          <w:sz w:val="22"/>
          <w:szCs w:val="22"/>
        </w:rPr>
        <w:t>Able to collaborate with relevant agencies to promote pharmacovigilance</w:t>
      </w:r>
    </w:p>
    <w:p w14:paraId="03341153" w14:textId="77777777" w:rsidR="009F22D3" w:rsidRPr="007F163A" w:rsidRDefault="009F22D3" w:rsidP="009F22D3">
      <w:pPr>
        <w:pStyle w:val="ListParagraph"/>
        <w:numPr>
          <w:ilvl w:val="0"/>
          <w:numId w:val="3"/>
        </w:numPr>
        <w:ind w:left="709" w:hanging="425"/>
        <w:jc w:val="both"/>
        <w:rPr>
          <w:sz w:val="22"/>
          <w:szCs w:val="22"/>
        </w:rPr>
      </w:pPr>
      <w:r w:rsidRPr="007F163A">
        <w:rPr>
          <w:sz w:val="22"/>
          <w:szCs w:val="22"/>
        </w:rPr>
        <w:t>Have competence in optimizing pharmacovigilance activities</w:t>
      </w:r>
    </w:p>
    <w:p w14:paraId="7F895352" w14:textId="77777777" w:rsidR="009F22D3" w:rsidRPr="007F163A" w:rsidRDefault="009F22D3" w:rsidP="009F22D3">
      <w:pPr>
        <w:pStyle w:val="ListParagraph"/>
        <w:numPr>
          <w:ilvl w:val="0"/>
          <w:numId w:val="3"/>
        </w:numPr>
        <w:ind w:left="709" w:hanging="425"/>
        <w:jc w:val="both"/>
        <w:rPr>
          <w:sz w:val="22"/>
          <w:szCs w:val="22"/>
        </w:rPr>
      </w:pPr>
      <w:r w:rsidRPr="007F163A">
        <w:rPr>
          <w:rFonts w:eastAsia="&amp;quot"/>
          <w:color w:val="050505"/>
          <w:sz w:val="22"/>
          <w:szCs w:val="22"/>
          <w:lang w:val="en-GB"/>
        </w:rPr>
        <w:t>S</w:t>
      </w:r>
      <w:proofErr w:type="spellStart"/>
      <w:r w:rsidRPr="007F163A">
        <w:rPr>
          <w:rFonts w:eastAsia="&amp;quot"/>
          <w:color w:val="050505"/>
          <w:sz w:val="22"/>
          <w:szCs w:val="22"/>
        </w:rPr>
        <w:t>earch</w:t>
      </w:r>
      <w:proofErr w:type="spellEnd"/>
      <w:r w:rsidRPr="007F163A">
        <w:rPr>
          <w:rFonts w:eastAsia="&amp;quot"/>
          <w:color w:val="050505"/>
          <w:sz w:val="22"/>
          <w:szCs w:val="22"/>
        </w:rPr>
        <w:t xml:space="preserve"> compile, analyze and evaluate reports about adverse drug reactions in scientific literature and databases.</w:t>
      </w:r>
    </w:p>
    <w:p w14:paraId="524E7D82" w14:textId="77777777" w:rsidR="009F22D3" w:rsidRPr="007F163A" w:rsidRDefault="009F22D3" w:rsidP="009F22D3">
      <w:pPr>
        <w:pStyle w:val="ListParagraph"/>
        <w:numPr>
          <w:ilvl w:val="0"/>
          <w:numId w:val="3"/>
        </w:numPr>
        <w:ind w:left="709" w:hanging="425"/>
        <w:jc w:val="both"/>
        <w:rPr>
          <w:sz w:val="22"/>
          <w:szCs w:val="22"/>
        </w:rPr>
      </w:pPr>
      <w:r w:rsidRPr="007F163A">
        <w:rPr>
          <w:rFonts w:eastAsia="&amp;quot"/>
          <w:color w:val="050505"/>
          <w:sz w:val="22"/>
          <w:szCs w:val="22"/>
        </w:rPr>
        <w:t xml:space="preserve">Understand </w:t>
      </w:r>
      <w:r w:rsidRPr="007F163A">
        <w:rPr>
          <w:rFonts w:eastAsia="&amp;quot"/>
          <w:color w:val="050505"/>
          <w:sz w:val="22"/>
          <w:szCs w:val="22"/>
          <w:lang w:val="en-GB"/>
        </w:rPr>
        <w:t xml:space="preserve">various </w:t>
      </w:r>
      <w:r w:rsidRPr="007F163A">
        <w:rPr>
          <w:rFonts w:eastAsia="&amp;quot"/>
          <w:color w:val="050505"/>
          <w:sz w:val="22"/>
          <w:szCs w:val="22"/>
        </w:rPr>
        <w:t>methods utilized in pharmacovigilance.</w:t>
      </w:r>
    </w:p>
    <w:p w14:paraId="2831B36D" w14:textId="77777777" w:rsidR="009F22D3" w:rsidRPr="007F163A" w:rsidRDefault="009F22D3" w:rsidP="009F22D3">
      <w:pPr>
        <w:pStyle w:val="ListParagraph"/>
        <w:numPr>
          <w:ilvl w:val="0"/>
          <w:numId w:val="3"/>
        </w:numPr>
        <w:ind w:left="709" w:hanging="425"/>
        <w:jc w:val="both"/>
        <w:rPr>
          <w:sz w:val="22"/>
          <w:szCs w:val="22"/>
        </w:rPr>
      </w:pPr>
      <w:r w:rsidRPr="007F163A">
        <w:rPr>
          <w:rFonts w:eastAsia="&amp;quot"/>
          <w:color w:val="050505"/>
          <w:sz w:val="22"/>
          <w:szCs w:val="22"/>
        </w:rPr>
        <w:t>Assess and analyze warnings, risk management and risk communication about adverse drug reactions.</w:t>
      </w:r>
    </w:p>
    <w:p w14:paraId="15BD3637" w14:textId="77777777" w:rsidR="009F22D3" w:rsidRPr="007F163A" w:rsidRDefault="009F22D3" w:rsidP="009F22D3">
      <w:pPr>
        <w:pStyle w:val="ListParagraph"/>
        <w:numPr>
          <w:ilvl w:val="0"/>
          <w:numId w:val="3"/>
        </w:numPr>
        <w:ind w:left="709" w:hanging="425"/>
        <w:jc w:val="both"/>
        <w:rPr>
          <w:sz w:val="22"/>
          <w:szCs w:val="22"/>
        </w:rPr>
      </w:pPr>
      <w:r w:rsidRPr="007F163A">
        <w:rPr>
          <w:rFonts w:eastAsia="&amp;quot"/>
          <w:color w:val="050505"/>
          <w:sz w:val="22"/>
          <w:szCs w:val="22"/>
        </w:rPr>
        <w:t>Assess and analyze the effects and safety of medicines.</w:t>
      </w:r>
    </w:p>
    <w:p w14:paraId="16D598C0" w14:textId="77777777" w:rsidR="009F22D3" w:rsidRPr="007F163A" w:rsidRDefault="009F22D3" w:rsidP="009F22D3">
      <w:pPr>
        <w:pStyle w:val="ListParagraph"/>
        <w:numPr>
          <w:ilvl w:val="0"/>
          <w:numId w:val="3"/>
        </w:numPr>
        <w:ind w:left="709" w:hanging="425"/>
        <w:jc w:val="both"/>
        <w:rPr>
          <w:sz w:val="22"/>
          <w:szCs w:val="22"/>
        </w:rPr>
      </w:pPr>
      <w:r w:rsidRPr="007F163A">
        <w:rPr>
          <w:rFonts w:eastAsia="&amp;quot"/>
          <w:color w:val="050505"/>
          <w:sz w:val="22"/>
          <w:szCs w:val="22"/>
        </w:rPr>
        <w:t>To understand pharmacovigilance from a regulatory perspective.</w:t>
      </w:r>
    </w:p>
    <w:p w14:paraId="1B51BD24" w14:textId="77777777" w:rsidR="009F22D3" w:rsidRPr="007F163A" w:rsidRDefault="009F22D3" w:rsidP="009F22D3">
      <w:pPr>
        <w:pStyle w:val="ListParagraph"/>
        <w:numPr>
          <w:ilvl w:val="0"/>
          <w:numId w:val="3"/>
        </w:numPr>
        <w:ind w:left="709" w:hanging="425"/>
        <w:jc w:val="both"/>
        <w:rPr>
          <w:sz w:val="22"/>
          <w:szCs w:val="22"/>
        </w:rPr>
      </w:pPr>
      <w:r w:rsidRPr="007F163A">
        <w:rPr>
          <w:rFonts w:eastAsia="&amp;quot"/>
          <w:color w:val="050505"/>
          <w:sz w:val="22"/>
          <w:szCs w:val="22"/>
        </w:rPr>
        <w:t>Explain the importance of pharmacogenomics for individual variation in adverse drug reactions.</w:t>
      </w:r>
      <w:bookmarkEnd w:id="3"/>
    </w:p>
    <w:p w14:paraId="29D1DB2E" w14:textId="77777777" w:rsidR="009F22D3" w:rsidRPr="007F163A" w:rsidRDefault="009F22D3" w:rsidP="009F22D3">
      <w:pPr>
        <w:pStyle w:val="ListParagraph"/>
        <w:ind w:left="0"/>
        <w:jc w:val="both"/>
        <w:rPr>
          <w:sz w:val="22"/>
          <w:szCs w:val="22"/>
        </w:rPr>
      </w:pPr>
    </w:p>
    <w:p w14:paraId="72D24A07" w14:textId="77777777" w:rsidR="009F22D3" w:rsidRDefault="009F22D3" w:rsidP="009F22D3">
      <w:pPr>
        <w:pStyle w:val="Heading3"/>
        <w:numPr>
          <w:ilvl w:val="0"/>
          <w:numId w:val="0"/>
        </w:numPr>
        <w:ind w:firstLine="284"/>
        <w:rPr>
          <w:b/>
          <w:bCs w:val="0"/>
          <w:sz w:val="22"/>
          <w:szCs w:val="24"/>
        </w:rPr>
      </w:pPr>
      <w:bookmarkStart w:id="4" w:name="_Toc97749144"/>
      <w:bookmarkStart w:id="5" w:name="_Toc102414959"/>
      <w:r w:rsidRPr="007F163A">
        <w:rPr>
          <w:b/>
          <w:bCs w:val="0"/>
          <w:sz w:val="22"/>
          <w:szCs w:val="24"/>
        </w:rPr>
        <w:t>Admission Requirements</w:t>
      </w:r>
      <w:bookmarkEnd w:id="4"/>
      <w:bookmarkEnd w:id="5"/>
    </w:p>
    <w:p w14:paraId="086ED1FA" w14:textId="77777777" w:rsidR="009F22D3" w:rsidRPr="00BF69D7" w:rsidRDefault="009F22D3" w:rsidP="009F22D3"/>
    <w:p w14:paraId="1E7A18CC" w14:textId="77777777" w:rsidR="009F22D3" w:rsidRPr="007F163A" w:rsidRDefault="009F22D3" w:rsidP="009F22D3">
      <w:pPr>
        <w:jc w:val="both"/>
        <w:rPr>
          <w:sz w:val="22"/>
          <w:szCs w:val="22"/>
        </w:rPr>
      </w:pPr>
      <w:r w:rsidRPr="007F163A">
        <w:rPr>
          <w:color w:val="000000"/>
          <w:sz w:val="22"/>
          <w:szCs w:val="22"/>
        </w:rPr>
        <w:t xml:space="preserve">A candidate for the M.Sc. Pharmacovigilance programme must possess </w:t>
      </w:r>
      <w:r w:rsidRPr="00395BF7">
        <w:rPr>
          <w:color w:val="000000" w:themeColor="text1"/>
          <w:sz w:val="22"/>
          <w:szCs w:val="22"/>
          <w:lang w:val="en-GB"/>
        </w:rPr>
        <w:t xml:space="preserve">credit passes in English, Mathematics, Physics, Chemistry and Biology </w:t>
      </w:r>
      <w:r>
        <w:rPr>
          <w:color w:val="000000" w:themeColor="text1"/>
          <w:sz w:val="22"/>
          <w:szCs w:val="22"/>
          <w:lang w:val="en-GB"/>
        </w:rPr>
        <w:t>in</w:t>
      </w:r>
      <w:r w:rsidRPr="00395BF7">
        <w:rPr>
          <w:color w:val="000000" w:themeColor="text1"/>
          <w:sz w:val="22"/>
          <w:szCs w:val="22"/>
          <w:lang w:val="en-GB"/>
        </w:rPr>
        <w:t xml:space="preserve"> ‘O’ level</w:t>
      </w:r>
      <w:r>
        <w:rPr>
          <w:color w:val="000000" w:themeColor="text1"/>
          <w:sz w:val="22"/>
          <w:szCs w:val="22"/>
          <w:lang w:val="en-GB"/>
        </w:rPr>
        <w:t xml:space="preserve"> or its equivalent</w:t>
      </w:r>
      <w:r w:rsidRPr="00395BF7">
        <w:rPr>
          <w:color w:val="000000" w:themeColor="text1"/>
          <w:sz w:val="22"/>
          <w:szCs w:val="22"/>
        </w:rPr>
        <w:t xml:space="preserve"> at one sitting</w:t>
      </w:r>
      <w:r>
        <w:rPr>
          <w:color w:val="000000" w:themeColor="text1"/>
          <w:sz w:val="22"/>
          <w:szCs w:val="22"/>
        </w:rPr>
        <w:t xml:space="preserve"> and</w:t>
      </w:r>
      <w:r w:rsidRPr="007F163A">
        <w:rPr>
          <w:color w:val="000000"/>
          <w:sz w:val="22"/>
          <w:szCs w:val="22"/>
        </w:rPr>
        <w:t xml:space="preserve"> a minimum of second-class lower </w:t>
      </w:r>
      <w:r w:rsidRPr="007F163A">
        <w:rPr>
          <w:sz w:val="22"/>
          <w:szCs w:val="22"/>
        </w:rPr>
        <w:t>bachelor</w:t>
      </w:r>
      <w:r w:rsidRPr="007F163A">
        <w:rPr>
          <w:color w:val="FF0000"/>
          <w:sz w:val="22"/>
          <w:szCs w:val="22"/>
        </w:rPr>
        <w:t xml:space="preserve"> </w:t>
      </w:r>
      <w:r w:rsidRPr="007F163A">
        <w:rPr>
          <w:color w:val="000000"/>
          <w:sz w:val="22"/>
          <w:szCs w:val="22"/>
        </w:rPr>
        <w:t xml:space="preserve">degree or its equivalent in Pharmacy, Medicine, Dentistry, Nursing or Pharmacology from </w:t>
      </w:r>
      <w:r w:rsidRPr="007F163A">
        <w:rPr>
          <w:sz w:val="22"/>
          <w:szCs w:val="22"/>
        </w:rPr>
        <w:t xml:space="preserve">any approved University. </w:t>
      </w:r>
    </w:p>
    <w:p w14:paraId="4D160DB2" w14:textId="77777777" w:rsidR="009F22D3" w:rsidRPr="007F163A" w:rsidRDefault="009F22D3" w:rsidP="009F22D3">
      <w:pPr>
        <w:pStyle w:val="ListParagraph"/>
        <w:ind w:left="0"/>
        <w:jc w:val="both"/>
        <w:rPr>
          <w:sz w:val="22"/>
          <w:szCs w:val="22"/>
        </w:rPr>
      </w:pPr>
    </w:p>
    <w:p w14:paraId="6218395B" w14:textId="77777777" w:rsidR="009F22D3" w:rsidRDefault="009F22D3" w:rsidP="009F22D3">
      <w:pPr>
        <w:pStyle w:val="Heading3"/>
        <w:numPr>
          <w:ilvl w:val="0"/>
          <w:numId w:val="0"/>
        </w:numPr>
        <w:rPr>
          <w:b/>
          <w:bCs w:val="0"/>
          <w:sz w:val="22"/>
          <w:szCs w:val="24"/>
        </w:rPr>
      </w:pPr>
      <w:bookmarkStart w:id="6" w:name="_Toc97749145"/>
      <w:bookmarkStart w:id="7" w:name="_Toc102414960"/>
      <w:r w:rsidRPr="007F163A">
        <w:rPr>
          <w:b/>
          <w:bCs w:val="0"/>
          <w:sz w:val="22"/>
          <w:szCs w:val="24"/>
        </w:rPr>
        <w:t>Graduation Requirements</w:t>
      </w:r>
      <w:bookmarkEnd w:id="6"/>
      <w:bookmarkEnd w:id="7"/>
    </w:p>
    <w:p w14:paraId="565D5424" w14:textId="77777777" w:rsidR="009F22D3" w:rsidRPr="00BF69D7" w:rsidRDefault="009F22D3" w:rsidP="009F22D3"/>
    <w:p w14:paraId="5571BB20" w14:textId="77777777" w:rsidR="009F22D3" w:rsidRDefault="009F22D3" w:rsidP="009F22D3">
      <w:pPr>
        <w:jc w:val="both"/>
        <w:rPr>
          <w:sz w:val="22"/>
          <w:szCs w:val="22"/>
        </w:rPr>
      </w:pPr>
      <w:r w:rsidRPr="007F163A">
        <w:rPr>
          <w:sz w:val="22"/>
          <w:szCs w:val="22"/>
        </w:rPr>
        <w:lastRenderedPageBreak/>
        <w:t xml:space="preserve">To obtain an M.Sc. in Pharmacovigilance, a candidate must satisfy a minimum of </w:t>
      </w:r>
      <w:r w:rsidRPr="00302398">
        <w:rPr>
          <w:b/>
          <w:bCs/>
          <w:sz w:val="22"/>
          <w:szCs w:val="22"/>
        </w:rPr>
        <w:t>24 units</w:t>
      </w:r>
      <w:r w:rsidRPr="007F163A">
        <w:rPr>
          <w:sz w:val="22"/>
          <w:szCs w:val="22"/>
        </w:rPr>
        <w:t xml:space="preserve"> of courses in minimum of two (2) semesters and with cumulative grade point average (CGPA) of 2.40 at 800 level made up as follows:</w:t>
      </w:r>
    </w:p>
    <w:p w14:paraId="0724907F" w14:textId="77777777" w:rsidR="009F22D3" w:rsidRPr="007F163A" w:rsidRDefault="009F22D3" w:rsidP="009F22D3">
      <w:pPr>
        <w:jc w:val="both"/>
        <w:rPr>
          <w:b/>
          <w:color w:val="000000"/>
          <w:sz w:val="22"/>
          <w:szCs w:val="22"/>
        </w:rPr>
      </w:pPr>
    </w:p>
    <w:p w14:paraId="20C811C2" w14:textId="77777777" w:rsidR="009F22D3" w:rsidRPr="008D1E23" w:rsidRDefault="009F22D3" w:rsidP="009F22D3">
      <w:pPr>
        <w:pStyle w:val="ListParagraph"/>
        <w:numPr>
          <w:ilvl w:val="0"/>
          <w:numId w:val="4"/>
        </w:numPr>
        <w:spacing w:line="276" w:lineRule="auto"/>
        <w:jc w:val="both"/>
        <w:rPr>
          <w:sz w:val="22"/>
          <w:szCs w:val="22"/>
        </w:rPr>
      </w:pPr>
      <w:bookmarkStart w:id="8" w:name="_Hlk86763636"/>
      <w:r w:rsidRPr="008D1E23">
        <w:rPr>
          <w:sz w:val="22"/>
          <w:szCs w:val="22"/>
        </w:rPr>
        <w:t xml:space="preserve">14 units of compulsory theory courses  </w:t>
      </w:r>
    </w:p>
    <w:p w14:paraId="365E0D1A" w14:textId="77777777" w:rsidR="009F22D3" w:rsidRPr="008D1E23" w:rsidRDefault="009F22D3" w:rsidP="009F22D3">
      <w:pPr>
        <w:pStyle w:val="ListParagraph"/>
        <w:numPr>
          <w:ilvl w:val="0"/>
          <w:numId w:val="4"/>
        </w:numPr>
        <w:spacing w:line="276" w:lineRule="auto"/>
        <w:jc w:val="both"/>
        <w:rPr>
          <w:sz w:val="22"/>
          <w:szCs w:val="22"/>
        </w:rPr>
      </w:pPr>
      <w:r w:rsidRPr="008D1E23">
        <w:rPr>
          <w:sz w:val="22"/>
          <w:szCs w:val="22"/>
        </w:rPr>
        <w:t>2 units of Research seminar</w:t>
      </w:r>
    </w:p>
    <w:p w14:paraId="51297F2D" w14:textId="77777777" w:rsidR="009F22D3" w:rsidRPr="008D1E23" w:rsidRDefault="009F22D3" w:rsidP="009F22D3">
      <w:pPr>
        <w:pStyle w:val="ListParagraph"/>
        <w:numPr>
          <w:ilvl w:val="0"/>
          <w:numId w:val="4"/>
        </w:numPr>
        <w:spacing w:line="276" w:lineRule="auto"/>
        <w:jc w:val="both"/>
        <w:rPr>
          <w:sz w:val="22"/>
          <w:szCs w:val="22"/>
        </w:rPr>
      </w:pPr>
      <w:r w:rsidRPr="008D1E23">
        <w:rPr>
          <w:sz w:val="22"/>
          <w:szCs w:val="22"/>
        </w:rPr>
        <w:t>4 units of Research project</w:t>
      </w:r>
    </w:p>
    <w:p w14:paraId="4000CE4B" w14:textId="77777777" w:rsidR="009F22D3" w:rsidRPr="008D1E23" w:rsidRDefault="009F22D3" w:rsidP="009F22D3">
      <w:pPr>
        <w:pStyle w:val="ListParagraph"/>
        <w:numPr>
          <w:ilvl w:val="0"/>
          <w:numId w:val="4"/>
        </w:numPr>
        <w:spacing w:line="276" w:lineRule="auto"/>
        <w:jc w:val="both"/>
        <w:rPr>
          <w:sz w:val="22"/>
          <w:szCs w:val="22"/>
        </w:rPr>
      </w:pPr>
      <w:r w:rsidRPr="008D1E23">
        <w:rPr>
          <w:sz w:val="22"/>
          <w:szCs w:val="22"/>
        </w:rPr>
        <w:t>4 units of elective theory courses</w:t>
      </w:r>
    </w:p>
    <w:p w14:paraId="79F6F121" w14:textId="77777777" w:rsidR="009F22D3" w:rsidRDefault="009F22D3" w:rsidP="009F22D3">
      <w:pPr>
        <w:jc w:val="both"/>
        <w:rPr>
          <w:sz w:val="22"/>
          <w:szCs w:val="22"/>
        </w:rPr>
      </w:pPr>
    </w:p>
    <w:p w14:paraId="118D6FAF" w14:textId="77777777" w:rsidR="009F22D3" w:rsidRDefault="009F22D3" w:rsidP="009F22D3">
      <w:pPr>
        <w:jc w:val="both"/>
        <w:rPr>
          <w:sz w:val="22"/>
          <w:szCs w:val="22"/>
        </w:rPr>
      </w:pPr>
      <w:r w:rsidRPr="007F163A">
        <w:rPr>
          <w:sz w:val="22"/>
          <w:szCs w:val="22"/>
        </w:rPr>
        <w:t xml:space="preserve">The duration of the programme shall be minimum of two (2) semesters and maximum of four (4) semesters. </w:t>
      </w:r>
    </w:p>
    <w:p w14:paraId="7A02473D" w14:textId="77777777" w:rsidR="009F22D3" w:rsidRPr="007F163A" w:rsidRDefault="009F22D3" w:rsidP="009F22D3">
      <w:pPr>
        <w:jc w:val="both"/>
        <w:rPr>
          <w:sz w:val="22"/>
          <w:szCs w:val="22"/>
        </w:rPr>
      </w:pPr>
    </w:p>
    <w:p w14:paraId="4473F7FB" w14:textId="77777777" w:rsidR="009F22D3" w:rsidRPr="007F163A" w:rsidRDefault="009F22D3" w:rsidP="009F22D3">
      <w:pPr>
        <w:jc w:val="both"/>
        <w:rPr>
          <w:sz w:val="22"/>
          <w:szCs w:val="22"/>
        </w:rPr>
      </w:pPr>
    </w:p>
    <w:p w14:paraId="2FFD25BC" w14:textId="77777777" w:rsidR="009F22D3" w:rsidRPr="007F163A" w:rsidRDefault="009F22D3" w:rsidP="009F22D3">
      <w:pPr>
        <w:pStyle w:val="Heading3"/>
        <w:numPr>
          <w:ilvl w:val="0"/>
          <w:numId w:val="0"/>
        </w:numPr>
        <w:ind w:left="1212" w:hanging="1070"/>
        <w:rPr>
          <w:sz w:val="22"/>
          <w:szCs w:val="24"/>
        </w:rPr>
      </w:pPr>
      <w:bookmarkStart w:id="9" w:name="_Toc97749146"/>
      <w:bookmarkStart w:id="10" w:name="_Toc102414961"/>
      <w:r w:rsidRPr="007F163A">
        <w:rPr>
          <w:b/>
          <w:bCs w:val="0"/>
          <w:sz w:val="22"/>
          <w:szCs w:val="24"/>
        </w:rPr>
        <w:t>List of Courses and No of Units by Levels in tabular form</w:t>
      </w:r>
      <w:bookmarkEnd w:id="9"/>
      <w:bookmarkEnd w:id="10"/>
    </w:p>
    <w:p w14:paraId="1D9D7710" w14:textId="77777777" w:rsidR="009F22D3" w:rsidRDefault="009F22D3" w:rsidP="009F22D3">
      <w:pPr>
        <w:pStyle w:val="ListParagraph"/>
        <w:ind w:left="0"/>
        <w:jc w:val="both"/>
        <w:rPr>
          <w:i/>
          <w:sz w:val="22"/>
          <w:szCs w:val="22"/>
        </w:rPr>
      </w:pPr>
    </w:p>
    <w:p w14:paraId="3CED6B84" w14:textId="77777777" w:rsidR="009F22D3" w:rsidRPr="007F163A" w:rsidRDefault="009F22D3" w:rsidP="009F22D3">
      <w:pPr>
        <w:pStyle w:val="ListParagraph"/>
        <w:ind w:left="0"/>
        <w:jc w:val="both"/>
        <w:rPr>
          <w:i/>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040"/>
        <w:gridCol w:w="1268"/>
        <w:gridCol w:w="761"/>
      </w:tblGrid>
      <w:tr w:rsidR="009F22D3" w:rsidRPr="008D1E23" w14:paraId="6010CFFA" w14:textId="77777777" w:rsidTr="007B0EAA">
        <w:tc>
          <w:tcPr>
            <w:tcW w:w="6204" w:type="dxa"/>
            <w:gridSpan w:val="4"/>
            <w:tcBorders>
              <w:top w:val="nil"/>
              <w:left w:val="nil"/>
              <w:right w:val="nil"/>
            </w:tcBorders>
            <w:shd w:val="clear" w:color="auto" w:fill="auto"/>
          </w:tcPr>
          <w:p w14:paraId="7B428476" w14:textId="77777777" w:rsidR="009F22D3" w:rsidRDefault="009F22D3" w:rsidP="007B0EAA">
            <w:pPr>
              <w:pStyle w:val="ListParagraph"/>
              <w:ind w:left="0"/>
              <w:jc w:val="both"/>
              <w:rPr>
                <w:b/>
                <w:bCs/>
                <w:sz w:val="21"/>
                <w:szCs w:val="21"/>
              </w:rPr>
            </w:pPr>
          </w:p>
          <w:p w14:paraId="41E09715" w14:textId="77777777" w:rsidR="009F22D3" w:rsidRPr="008D1E23" w:rsidRDefault="009F22D3" w:rsidP="007B0EAA">
            <w:pPr>
              <w:pStyle w:val="ListParagraph"/>
              <w:ind w:left="0"/>
              <w:jc w:val="both"/>
              <w:rPr>
                <w:b/>
                <w:bCs/>
                <w:sz w:val="21"/>
                <w:szCs w:val="21"/>
              </w:rPr>
            </w:pPr>
            <w:r w:rsidRPr="008D1E23">
              <w:rPr>
                <w:b/>
                <w:bCs/>
                <w:sz w:val="21"/>
                <w:szCs w:val="21"/>
              </w:rPr>
              <w:t>800 LEVEL          FIRST SEMESTER</w:t>
            </w:r>
          </w:p>
        </w:tc>
      </w:tr>
      <w:tr w:rsidR="009F22D3" w:rsidRPr="008D1E23" w14:paraId="0D14E7AA" w14:textId="77777777" w:rsidTr="007B0EAA">
        <w:tc>
          <w:tcPr>
            <w:tcW w:w="1135" w:type="dxa"/>
            <w:shd w:val="clear" w:color="auto" w:fill="auto"/>
          </w:tcPr>
          <w:p w14:paraId="00079160" w14:textId="77777777" w:rsidR="009F22D3" w:rsidRPr="008D1E23" w:rsidRDefault="009F22D3" w:rsidP="007B0EAA">
            <w:pPr>
              <w:pStyle w:val="ListParagraph"/>
              <w:ind w:left="0" w:right="-38"/>
              <w:jc w:val="both"/>
              <w:rPr>
                <w:b/>
                <w:bCs/>
              </w:rPr>
            </w:pPr>
            <w:r w:rsidRPr="008D1E23">
              <w:rPr>
                <w:b/>
                <w:bCs/>
              </w:rPr>
              <w:t>COURSE CODE</w:t>
            </w:r>
          </w:p>
        </w:tc>
        <w:tc>
          <w:tcPr>
            <w:tcW w:w="3040" w:type="dxa"/>
            <w:shd w:val="clear" w:color="auto" w:fill="auto"/>
          </w:tcPr>
          <w:p w14:paraId="3D60C466" w14:textId="77777777" w:rsidR="009F22D3" w:rsidRPr="008D1E23" w:rsidRDefault="009F22D3" w:rsidP="007B0EAA">
            <w:pPr>
              <w:pStyle w:val="ListParagraph"/>
              <w:ind w:left="0" w:right="-38"/>
              <w:jc w:val="both"/>
              <w:rPr>
                <w:b/>
                <w:bCs/>
              </w:rPr>
            </w:pPr>
            <w:r w:rsidRPr="008D1E23">
              <w:rPr>
                <w:b/>
                <w:bCs/>
              </w:rPr>
              <w:t>COURSE TITLE</w:t>
            </w:r>
          </w:p>
        </w:tc>
        <w:tc>
          <w:tcPr>
            <w:tcW w:w="1268" w:type="dxa"/>
            <w:shd w:val="clear" w:color="auto" w:fill="auto"/>
          </w:tcPr>
          <w:p w14:paraId="445B638F" w14:textId="77777777" w:rsidR="009F22D3" w:rsidRPr="008D1E23" w:rsidRDefault="009F22D3" w:rsidP="007B0EAA">
            <w:pPr>
              <w:pStyle w:val="ListParagraph"/>
              <w:ind w:left="0" w:right="-38"/>
              <w:jc w:val="both"/>
              <w:rPr>
                <w:b/>
                <w:bCs/>
              </w:rPr>
            </w:pPr>
            <w:r w:rsidRPr="008D1E23">
              <w:rPr>
                <w:b/>
                <w:bCs/>
              </w:rPr>
              <w:t xml:space="preserve">STATUS </w:t>
            </w:r>
          </w:p>
        </w:tc>
        <w:tc>
          <w:tcPr>
            <w:tcW w:w="761" w:type="dxa"/>
            <w:shd w:val="clear" w:color="auto" w:fill="auto"/>
          </w:tcPr>
          <w:p w14:paraId="010738A6" w14:textId="77777777" w:rsidR="009F22D3" w:rsidRPr="008D1E23" w:rsidRDefault="009F22D3" w:rsidP="007B0EAA">
            <w:pPr>
              <w:pStyle w:val="ListParagraph"/>
              <w:ind w:left="0" w:right="-38"/>
              <w:jc w:val="center"/>
              <w:rPr>
                <w:b/>
                <w:bCs/>
              </w:rPr>
            </w:pPr>
            <w:r w:rsidRPr="008D1E23">
              <w:rPr>
                <w:b/>
                <w:bCs/>
              </w:rPr>
              <w:t>UNITS</w:t>
            </w:r>
          </w:p>
        </w:tc>
      </w:tr>
      <w:tr w:rsidR="009F22D3" w:rsidRPr="008D1E23" w14:paraId="443E0960" w14:textId="77777777" w:rsidTr="007B0EAA">
        <w:tc>
          <w:tcPr>
            <w:tcW w:w="1135" w:type="dxa"/>
            <w:shd w:val="clear" w:color="auto" w:fill="auto"/>
          </w:tcPr>
          <w:p w14:paraId="76081070" w14:textId="77777777" w:rsidR="009F22D3" w:rsidRPr="008D1E23" w:rsidRDefault="009F22D3" w:rsidP="007B0EAA">
            <w:pPr>
              <w:pStyle w:val="ListParagraph"/>
              <w:ind w:left="0"/>
              <w:jc w:val="both"/>
              <w:rPr>
                <w:b/>
                <w:bCs/>
                <w:sz w:val="21"/>
                <w:szCs w:val="21"/>
              </w:rPr>
            </w:pPr>
            <w:r w:rsidRPr="008D1E23">
              <w:rPr>
                <w:color w:val="000000"/>
                <w:sz w:val="21"/>
                <w:szCs w:val="21"/>
              </w:rPr>
              <w:t>PVG 811</w:t>
            </w:r>
          </w:p>
        </w:tc>
        <w:tc>
          <w:tcPr>
            <w:tcW w:w="3040" w:type="dxa"/>
            <w:shd w:val="clear" w:color="auto" w:fill="auto"/>
          </w:tcPr>
          <w:p w14:paraId="2E6BA06C" w14:textId="77777777" w:rsidR="009F22D3" w:rsidRPr="008D1E23" w:rsidRDefault="009F22D3" w:rsidP="007B0EAA">
            <w:pPr>
              <w:pStyle w:val="ListParagraph"/>
              <w:ind w:left="0"/>
              <w:jc w:val="both"/>
              <w:rPr>
                <w:b/>
                <w:bCs/>
                <w:sz w:val="21"/>
                <w:szCs w:val="21"/>
              </w:rPr>
            </w:pPr>
            <w:r w:rsidRPr="008D1E23">
              <w:rPr>
                <w:rFonts w:eastAsia="AdvPTimes"/>
                <w:color w:val="000000"/>
                <w:sz w:val="21"/>
                <w:szCs w:val="21"/>
                <w:lang w:val="en-GB"/>
              </w:rPr>
              <w:t>Overview of Pharmacovigilance</w:t>
            </w:r>
          </w:p>
        </w:tc>
        <w:tc>
          <w:tcPr>
            <w:tcW w:w="1268" w:type="dxa"/>
            <w:shd w:val="clear" w:color="auto" w:fill="auto"/>
          </w:tcPr>
          <w:p w14:paraId="71F6178A" w14:textId="77777777" w:rsidR="009F22D3" w:rsidRPr="008D1E23" w:rsidRDefault="009F22D3" w:rsidP="007B0EAA">
            <w:pPr>
              <w:pStyle w:val="ListParagraph"/>
              <w:ind w:left="0"/>
              <w:jc w:val="both"/>
              <w:rPr>
                <w:b/>
                <w:bCs/>
                <w:sz w:val="21"/>
                <w:szCs w:val="21"/>
              </w:rPr>
            </w:pPr>
            <w:r w:rsidRPr="008D1E23">
              <w:rPr>
                <w:sz w:val="21"/>
                <w:szCs w:val="21"/>
              </w:rPr>
              <w:t>Compulsory</w:t>
            </w:r>
          </w:p>
        </w:tc>
        <w:tc>
          <w:tcPr>
            <w:tcW w:w="761" w:type="dxa"/>
            <w:shd w:val="clear" w:color="auto" w:fill="auto"/>
          </w:tcPr>
          <w:p w14:paraId="08F1EDD7" w14:textId="77777777" w:rsidR="009F22D3" w:rsidRPr="008D1E23" w:rsidRDefault="009F22D3" w:rsidP="007B0EAA">
            <w:pPr>
              <w:pStyle w:val="ListParagraph"/>
              <w:ind w:left="0"/>
              <w:jc w:val="center"/>
              <w:rPr>
                <w:b/>
                <w:bCs/>
                <w:sz w:val="21"/>
                <w:szCs w:val="21"/>
              </w:rPr>
            </w:pPr>
            <w:r w:rsidRPr="008D1E23">
              <w:rPr>
                <w:sz w:val="21"/>
                <w:szCs w:val="21"/>
              </w:rPr>
              <w:t>2</w:t>
            </w:r>
          </w:p>
        </w:tc>
      </w:tr>
      <w:tr w:rsidR="009F22D3" w:rsidRPr="008D1E23" w14:paraId="21FA58F6" w14:textId="77777777" w:rsidTr="007B0EAA">
        <w:tc>
          <w:tcPr>
            <w:tcW w:w="1135" w:type="dxa"/>
            <w:shd w:val="clear" w:color="auto" w:fill="auto"/>
          </w:tcPr>
          <w:p w14:paraId="1AFA9187" w14:textId="77777777" w:rsidR="009F22D3" w:rsidRPr="008D1E23" w:rsidRDefault="009F22D3" w:rsidP="007B0EAA">
            <w:pPr>
              <w:pStyle w:val="ListParagraph"/>
              <w:ind w:left="0"/>
              <w:jc w:val="both"/>
              <w:rPr>
                <w:b/>
                <w:bCs/>
                <w:sz w:val="21"/>
                <w:szCs w:val="21"/>
              </w:rPr>
            </w:pPr>
            <w:r w:rsidRPr="008D1E23">
              <w:rPr>
                <w:sz w:val="21"/>
                <w:szCs w:val="21"/>
              </w:rPr>
              <w:t>PVG 812</w:t>
            </w:r>
          </w:p>
        </w:tc>
        <w:tc>
          <w:tcPr>
            <w:tcW w:w="3040" w:type="dxa"/>
            <w:shd w:val="clear" w:color="auto" w:fill="auto"/>
          </w:tcPr>
          <w:p w14:paraId="19AD9FDE" w14:textId="77777777" w:rsidR="009F22D3" w:rsidRPr="008D1E23" w:rsidRDefault="009F22D3" w:rsidP="007B0EAA">
            <w:pPr>
              <w:pStyle w:val="ListParagraph"/>
              <w:ind w:left="0"/>
              <w:jc w:val="both"/>
              <w:rPr>
                <w:b/>
                <w:bCs/>
                <w:sz w:val="21"/>
                <w:szCs w:val="21"/>
              </w:rPr>
            </w:pPr>
            <w:r w:rsidRPr="008D1E23">
              <w:rPr>
                <w:rFonts w:eastAsia="AdvPTimesB"/>
                <w:color w:val="000000"/>
                <w:sz w:val="21"/>
                <w:szCs w:val="21"/>
              </w:rPr>
              <w:t>Spontaneous Reporting Systems (SRS)</w:t>
            </w:r>
            <w:r w:rsidRPr="008D1E23">
              <w:rPr>
                <w:rFonts w:eastAsia="AdvPTimesB"/>
                <w:color w:val="000000"/>
                <w:sz w:val="21"/>
                <w:szCs w:val="21"/>
                <w:lang w:val="en-GB"/>
              </w:rPr>
              <w:t xml:space="preserve"> and </w:t>
            </w:r>
            <w:r w:rsidRPr="008D1E23">
              <w:rPr>
                <w:rFonts w:eastAsia="AdvPTimesB"/>
                <w:color w:val="000000"/>
                <w:sz w:val="21"/>
                <w:szCs w:val="21"/>
              </w:rPr>
              <w:t>Case assessment</w:t>
            </w:r>
            <w:r w:rsidRPr="008D1E23">
              <w:rPr>
                <w:rFonts w:eastAsia="AdvPTimesB"/>
                <w:color w:val="000000"/>
                <w:sz w:val="21"/>
                <w:szCs w:val="21"/>
                <w:lang w:val="en-GB"/>
              </w:rPr>
              <w:t>s</w:t>
            </w:r>
          </w:p>
        </w:tc>
        <w:tc>
          <w:tcPr>
            <w:tcW w:w="1268" w:type="dxa"/>
            <w:shd w:val="clear" w:color="auto" w:fill="auto"/>
          </w:tcPr>
          <w:p w14:paraId="34DAC77D" w14:textId="77777777" w:rsidR="009F22D3" w:rsidRPr="008D1E23" w:rsidRDefault="009F22D3" w:rsidP="007B0EAA">
            <w:pPr>
              <w:pStyle w:val="ListParagraph"/>
              <w:ind w:left="0"/>
              <w:jc w:val="both"/>
              <w:rPr>
                <w:b/>
                <w:bCs/>
                <w:sz w:val="21"/>
                <w:szCs w:val="21"/>
              </w:rPr>
            </w:pPr>
            <w:r w:rsidRPr="008D1E23">
              <w:rPr>
                <w:sz w:val="21"/>
                <w:szCs w:val="21"/>
              </w:rPr>
              <w:t>Compulsory</w:t>
            </w:r>
          </w:p>
        </w:tc>
        <w:tc>
          <w:tcPr>
            <w:tcW w:w="761" w:type="dxa"/>
            <w:shd w:val="clear" w:color="auto" w:fill="auto"/>
          </w:tcPr>
          <w:p w14:paraId="4823D6F5" w14:textId="77777777" w:rsidR="009F22D3" w:rsidRPr="008D1E23" w:rsidRDefault="009F22D3" w:rsidP="007B0EAA">
            <w:pPr>
              <w:pStyle w:val="ListParagraph"/>
              <w:ind w:left="0"/>
              <w:jc w:val="center"/>
              <w:rPr>
                <w:b/>
                <w:bCs/>
                <w:sz w:val="21"/>
                <w:szCs w:val="21"/>
              </w:rPr>
            </w:pPr>
            <w:r w:rsidRPr="008D1E23">
              <w:rPr>
                <w:color w:val="000000"/>
                <w:sz w:val="21"/>
                <w:szCs w:val="21"/>
              </w:rPr>
              <w:t>2</w:t>
            </w:r>
          </w:p>
        </w:tc>
      </w:tr>
      <w:tr w:rsidR="009F22D3" w:rsidRPr="008D1E23" w14:paraId="40BAF259" w14:textId="77777777" w:rsidTr="007B0EAA">
        <w:tc>
          <w:tcPr>
            <w:tcW w:w="1135" w:type="dxa"/>
            <w:shd w:val="clear" w:color="auto" w:fill="auto"/>
          </w:tcPr>
          <w:p w14:paraId="1C3394AF" w14:textId="77777777" w:rsidR="009F22D3" w:rsidRPr="008D1E23" w:rsidRDefault="009F22D3" w:rsidP="007B0EAA">
            <w:pPr>
              <w:pStyle w:val="ListParagraph"/>
              <w:ind w:left="0"/>
              <w:jc w:val="both"/>
              <w:rPr>
                <w:b/>
                <w:bCs/>
                <w:sz w:val="21"/>
                <w:szCs w:val="21"/>
              </w:rPr>
            </w:pPr>
            <w:r w:rsidRPr="008D1E23">
              <w:rPr>
                <w:sz w:val="21"/>
                <w:szCs w:val="21"/>
              </w:rPr>
              <w:t>PUH 801</w:t>
            </w:r>
          </w:p>
        </w:tc>
        <w:tc>
          <w:tcPr>
            <w:tcW w:w="3040" w:type="dxa"/>
            <w:shd w:val="clear" w:color="auto" w:fill="auto"/>
          </w:tcPr>
          <w:p w14:paraId="01DBC3B6" w14:textId="77777777" w:rsidR="009F22D3" w:rsidRPr="008D1E23" w:rsidRDefault="009F22D3" w:rsidP="007B0EAA">
            <w:pPr>
              <w:pStyle w:val="ListParagraph"/>
              <w:ind w:left="0"/>
              <w:jc w:val="both"/>
              <w:rPr>
                <w:b/>
                <w:bCs/>
                <w:sz w:val="21"/>
                <w:szCs w:val="21"/>
              </w:rPr>
            </w:pPr>
            <w:r w:rsidRPr="008D1E23">
              <w:rPr>
                <w:sz w:val="21"/>
                <w:szCs w:val="21"/>
              </w:rPr>
              <w:t xml:space="preserve">Medical Statistics </w:t>
            </w:r>
          </w:p>
        </w:tc>
        <w:tc>
          <w:tcPr>
            <w:tcW w:w="1268" w:type="dxa"/>
            <w:shd w:val="clear" w:color="auto" w:fill="auto"/>
          </w:tcPr>
          <w:p w14:paraId="66EFD131" w14:textId="77777777" w:rsidR="009F22D3" w:rsidRPr="008D1E23" w:rsidRDefault="009F22D3" w:rsidP="007B0EAA">
            <w:pPr>
              <w:pStyle w:val="ListParagraph"/>
              <w:ind w:left="0"/>
              <w:jc w:val="both"/>
              <w:rPr>
                <w:b/>
                <w:bCs/>
                <w:sz w:val="21"/>
                <w:szCs w:val="21"/>
              </w:rPr>
            </w:pPr>
            <w:r w:rsidRPr="008D1E23">
              <w:rPr>
                <w:sz w:val="21"/>
                <w:szCs w:val="21"/>
              </w:rPr>
              <w:t xml:space="preserve">Compulsory </w:t>
            </w:r>
          </w:p>
        </w:tc>
        <w:tc>
          <w:tcPr>
            <w:tcW w:w="761" w:type="dxa"/>
            <w:shd w:val="clear" w:color="auto" w:fill="auto"/>
          </w:tcPr>
          <w:p w14:paraId="193927DC" w14:textId="77777777" w:rsidR="009F22D3" w:rsidRPr="008D1E23" w:rsidRDefault="009F22D3" w:rsidP="007B0EAA">
            <w:pPr>
              <w:pStyle w:val="ListParagraph"/>
              <w:ind w:left="0"/>
              <w:jc w:val="center"/>
              <w:rPr>
                <w:b/>
                <w:bCs/>
                <w:sz w:val="21"/>
                <w:szCs w:val="21"/>
              </w:rPr>
            </w:pPr>
            <w:r w:rsidRPr="008D1E23">
              <w:rPr>
                <w:sz w:val="21"/>
                <w:szCs w:val="21"/>
              </w:rPr>
              <w:t>2</w:t>
            </w:r>
          </w:p>
        </w:tc>
      </w:tr>
      <w:tr w:rsidR="009F22D3" w:rsidRPr="008D1E23" w14:paraId="38443217" w14:textId="77777777" w:rsidTr="007B0EAA">
        <w:tc>
          <w:tcPr>
            <w:tcW w:w="1135" w:type="dxa"/>
            <w:shd w:val="clear" w:color="auto" w:fill="auto"/>
            <w:vAlign w:val="center"/>
          </w:tcPr>
          <w:p w14:paraId="5EF0087D" w14:textId="77777777" w:rsidR="009F22D3" w:rsidRPr="008D1E23" w:rsidRDefault="009F22D3" w:rsidP="007B0EAA">
            <w:pPr>
              <w:pStyle w:val="ListParagraph"/>
              <w:ind w:left="0"/>
              <w:jc w:val="both"/>
              <w:rPr>
                <w:sz w:val="21"/>
                <w:szCs w:val="21"/>
              </w:rPr>
            </w:pPr>
            <w:r w:rsidRPr="008D1E23">
              <w:rPr>
                <w:color w:val="000000"/>
                <w:sz w:val="21"/>
                <w:szCs w:val="21"/>
              </w:rPr>
              <w:t>PCH 801</w:t>
            </w:r>
          </w:p>
        </w:tc>
        <w:tc>
          <w:tcPr>
            <w:tcW w:w="3040" w:type="dxa"/>
            <w:shd w:val="clear" w:color="auto" w:fill="auto"/>
            <w:vAlign w:val="center"/>
          </w:tcPr>
          <w:p w14:paraId="39827A2E" w14:textId="77777777" w:rsidR="009F22D3" w:rsidRPr="008D1E23" w:rsidRDefault="009F22D3" w:rsidP="007B0EAA">
            <w:pPr>
              <w:jc w:val="both"/>
              <w:rPr>
                <w:color w:val="000000"/>
                <w:sz w:val="21"/>
                <w:szCs w:val="21"/>
              </w:rPr>
            </w:pPr>
            <w:r w:rsidRPr="008D1E23">
              <w:rPr>
                <w:color w:val="000000"/>
                <w:sz w:val="21"/>
                <w:szCs w:val="21"/>
              </w:rPr>
              <w:t xml:space="preserve">Drug Quality Assurance and </w:t>
            </w:r>
          </w:p>
          <w:p w14:paraId="5D95F739" w14:textId="77777777" w:rsidR="009F22D3" w:rsidRPr="008D1E23" w:rsidRDefault="009F22D3" w:rsidP="007B0EAA">
            <w:pPr>
              <w:pStyle w:val="ListParagraph"/>
              <w:ind w:left="0"/>
              <w:jc w:val="both"/>
              <w:rPr>
                <w:sz w:val="21"/>
                <w:szCs w:val="21"/>
              </w:rPr>
            </w:pPr>
            <w:r w:rsidRPr="008D1E23">
              <w:rPr>
                <w:color w:val="000000"/>
                <w:sz w:val="21"/>
                <w:szCs w:val="21"/>
              </w:rPr>
              <w:t>Total Quality Management</w:t>
            </w:r>
          </w:p>
        </w:tc>
        <w:tc>
          <w:tcPr>
            <w:tcW w:w="1268" w:type="dxa"/>
            <w:shd w:val="clear" w:color="auto" w:fill="auto"/>
          </w:tcPr>
          <w:p w14:paraId="5D3A2E9B" w14:textId="77777777" w:rsidR="009F22D3" w:rsidRPr="008D1E23" w:rsidRDefault="009F22D3" w:rsidP="007B0EAA">
            <w:pPr>
              <w:jc w:val="both"/>
              <w:rPr>
                <w:color w:val="000000"/>
                <w:sz w:val="21"/>
                <w:szCs w:val="21"/>
              </w:rPr>
            </w:pPr>
            <w:r w:rsidRPr="008D1E23">
              <w:rPr>
                <w:color w:val="000000"/>
                <w:sz w:val="21"/>
                <w:szCs w:val="21"/>
              </w:rPr>
              <w:t>Compulsory</w:t>
            </w:r>
          </w:p>
          <w:p w14:paraId="1C1AD58A" w14:textId="77777777" w:rsidR="009F22D3" w:rsidRPr="008D1E23" w:rsidRDefault="009F22D3" w:rsidP="007B0EAA">
            <w:pPr>
              <w:pStyle w:val="ListParagraph"/>
              <w:ind w:left="0"/>
              <w:jc w:val="center"/>
              <w:rPr>
                <w:sz w:val="21"/>
                <w:szCs w:val="21"/>
              </w:rPr>
            </w:pPr>
          </w:p>
        </w:tc>
        <w:tc>
          <w:tcPr>
            <w:tcW w:w="761" w:type="dxa"/>
            <w:shd w:val="clear" w:color="auto" w:fill="auto"/>
          </w:tcPr>
          <w:p w14:paraId="4C7ED1D2" w14:textId="77777777" w:rsidR="009F22D3" w:rsidRPr="008D1E23" w:rsidRDefault="009F22D3" w:rsidP="007B0EAA">
            <w:pPr>
              <w:pStyle w:val="ListParagraph"/>
              <w:ind w:left="0"/>
              <w:jc w:val="center"/>
              <w:rPr>
                <w:sz w:val="21"/>
                <w:szCs w:val="21"/>
              </w:rPr>
            </w:pPr>
            <w:r w:rsidRPr="008D1E23">
              <w:rPr>
                <w:color w:val="000000"/>
                <w:sz w:val="21"/>
                <w:szCs w:val="21"/>
              </w:rPr>
              <w:t>2</w:t>
            </w:r>
          </w:p>
        </w:tc>
      </w:tr>
      <w:tr w:rsidR="009F22D3" w:rsidRPr="008D1E23" w14:paraId="26D328D6" w14:textId="77777777" w:rsidTr="007B0EAA">
        <w:tc>
          <w:tcPr>
            <w:tcW w:w="1135" w:type="dxa"/>
            <w:shd w:val="clear" w:color="auto" w:fill="auto"/>
          </w:tcPr>
          <w:p w14:paraId="2B427D2A" w14:textId="77777777" w:rsidR="009F22D3" w:rsidRPr="008D1E23" w:rsidRDefault="009F22D3" w:rsidP="007B0EAA">
            <w:pPr>
              <w:pStyle w:val="ListParagraph"/>
              <w:ind w:left="0"/>
              <w:jc w:val="both"/>
              <w:rPr>
                <w:sz w:val="21"/>
                <w:szCs w:val="21"/>
              </w:rPr>
            </w:pPr>
            <w:r w:rsidRPr="008D1E23">
              <w:rPr>
                <w:color w:val="000000"/>
                <w:sz w:val="21"/>
                <w:szCs w:val="21"/>
              </w:rPr>
              <w:t>PCL 807</w:t>
            </w:r>
          </w:p>
        </w:tc>
        <w:tc>
          <w:tcPr>
            <w:tcW w:w="3040" w:type="dxa"/>
            <w:shd w:val="clear" w:color="auto" w:fill="auto"/>
          </w:tcPr>
          <w:p w14:paraId="30C881CF" w14:textId="77777777" w:rsidR="009F22D3" w:rsidRPr="008D1E23" w:rsidRDefault="009F22D3" w:rsidP="007B0EAA">
            <w:pPr>
              <w:spacing w:before="100" w:beforeAutospacing="1" w:after="100" w:afterAutospacing="1"/>
              <w:contextualSpacing/>
              <w:jc w:val="both"/>
              <w:rPr>
                <w:color w:val="000000"/>
                <w:sz w:val="21"/>
                <w:szCs w:val="21"/>
              </w:rPr>
            </w:pPr>
            <w:r w:rsidRPr="008D1E23">
              <w:rPr>
                <w:color w:val="000000"/>
                <w:sz w:val="21"/>
                <w:szCs w:val="21"/>
              </w:rPr>
              <w:t>Advanced Pharmacy Practice, Research Methodology &amp; Medicine Regulations</w:t>
            </w:r>
          </w:p>
        </w:tc>
        <w:tc>
          <w:tcPr>
            <w:tcW w:w="1268" w:type="dxa"/>
            <w:shd w:val="clear" w:color="auto" w:fill="auto"/>
          </w:tcPr>
          <w:p w14:paraId="1728BBF7" w14:textId="77777777" w:rsidR="009F22D3" w:rsidRPr="008D1E23" w:rsidRDefault="009F22D3" w:rsidP="007B0EAA">
            <w:pPr>
              <w:pStyle w:val="ListParagraph"/>
              <w:ind w:left="0"/>
              <w:jc w:val="center"/>
              <w:rPr>
                <w:sz w:val="21"/>
                <w:szCs w:val="21"/>
              </w:rPr>
            </w:pPr>
            <w:r w:rsidRPr="008D1E23">
              <w:rPr>
                <w:sz w:val="21"/>
                <w:szCs w:val="21"/>
              </w:rPr>
              <w:t>Compulsory</w:t>
            </w:r>
          </w:p>
        </w:tc>
        <w:tc>
          <w:tcPr>
            <w:tcW w:w="761" w:type="dxa"/>
            <w:shd w:val="clear" w:color="auto" w:fill="auto"/>
          </w:tcPr>
          <w:p w14:paraId="10BFBD70" w14:textId="77777777" w:rsidR="009F22D3" w:rsidRPr="008D1E23" w:rsidRDefault="009F22D3" w:rsidP="007B0EAA">
            <w:pPr>
              <w:pStyle w:val="ListParagraph"/>
              <w:ind w:left="0"/>
              <w:jc w:val="center"/>
              <w:rPr>
                <w:sz w:val="21"/>
                <w:szCs w:val="21"/>
              </w:rPr>
            </w:pPr>
            <w:r w:rsidRPr="008D1E23">
              <w:rPr>
                <w:sz w:val="21"/>
                <w:szCs w:val="21"/>
              </w:rPr>
              <w:t>2</w:t>
            </w:r>
          </w:p>
        </w:tc>
      </w:tr>
      <w:tr w:rsidR="009F22D3" w:rsidRPr="008D1E23" w14:paraId="263F034E" w14:textId="77777777" w:rsidTr="007B0EAA">
        <w:tc>
          <w:tcPr>
            <w:tcW w:w="1135" w:type="dxa"/>
            <w:shd w:val="clear" w:color="auto" w:fill="auto"/>
          </w:tcPr>
          <w:p w14:paraId="0DD26799" w14:textId="77777777" w:rsidR="009F22D3" w:rsidRPr="008D1E23" w:rsidRDefault="009F22D3" w:rsidP="007B0EAA">
            <w:pPr>
              <w:pStyle w:val="ListParagraph"/>
              <w:ind w:left="0"/>
              <w:jc w:val="both"/>
              <w:rPr>
                <w:color w:val="000000"/>
                <w:sz w:val="21"/>
                <w:szCs w:val="21"/>
              </w:rPr>
            </w:pPr>
            <w:r w:rsidRPr="008D1E23">
              <w:rPr>
                <w:sz w:val="21"/>
                <w:szCs w:val="21"/>
              </w:rPr>
              <w:t>PCL 811</w:t>
            </w:r>
          </w:p>
        </w:tc>
        <w:tc>
          <w:tcPr>
            <w:tcW w:w="3040" w:type="dxa"/>
            <w:shd w:val="clear" w:color="auto" w:fill="auto"/>
          </w:tcPr>
          <w:p w14:paraId="5BDD017E" w14:textId="77777777" w:rsidR="009F22D3" w:rsidRPr="008D1E23" w:rsidRDefault="009F22D3" w:rsidP="007B0EAA">
            <w:pPr>
              <w:spacing w:before="100" w:beforeAutospacing="1" w:after="100" w:afterAutospacing="1"/>
              <w:contextualSpacing/>
              <w:jc w:val="both"/>
              <w:rPr>
                <w:color w:val="000000"/>
                <w:sz w:val="21"/>
                <w:szCs w:val="21"/>
              </w:rPr>
            </w:pPr>
            <w:r w:rsidRPr="008D1E23">
              <w:rPr>
                <w:color w:val="000000"/>
                <w:sz w:val="21"/>
                <w:szCs w:val="21"/>
              </w:rPr>
              <w:t>Adverse Drug Reactions &amp; Pharmacovigilance</w:t>
            </w:r>
          </w:p>
        </w:tc>
        <w:tc>
          <w:tcPr>
            <w:tcW w:w="1268" w:type="dxa"/>
            <w:shd w:val="clear" w:color="auto" w:fill="auto"/>
          </w:tcPr>
          <w:p w14:paraId="488F1F5B" w14:textId="77777777" w:rsidR="009F22D3" w:rsidRPr="008D1E23" w:rsidRDefault="009F22D3" w:rsidP="007B0EAA">
            <w:pPr>
              <w:pStyle w:val="ListParagraph"/>
              <w:ind w:left="0"/>
              <w:jc w:val="center"/>
              <w:rPr>
                <w:sz w:val="21"/>
                <w:szCs w:val="21"/>
              </w:rPr>
            </w:pPr>
            <w:r w:rsidRPr="008D1E23">
              <w:rPr>
                <w:sz w:val="21"/>
                <w:szCs w:val="21"/>
              </w:rPr>
              <w:t>Compulsory</w:t>
            </w:r>
          </w:p>
        </w:tc>
        <w:tc>
          <w:tcPr>
            <w:tcW w:w="761" w:type="dxa"/>
            <w:shd w:val="clear" w:color="auto" w:fill="auto"/>
          </w:tcPr>
          <w:p w14:paraId="35B2C512" w14:textId="77777777" w:rsidR="009F22D3" w:rsidRPr="008D1E23" w:rsidRDefault="009F22D3" w:rsidP="007B0EAA">
            <w:pPr>
              <w:pStyle w:val="ListParagraph"/>
              <w:ind w:left="0"/>
              <w:jc w:val="center"/>
              <w:rPr>
                <w:sz w:val="21"/>
                <w:szCs w:val="21"/>
              </w:rPr>
            </w:pPr>
            <w:r w:rsidRPr="008D1E23">
              <w:rPr>
                <w:sz w:val="21"/>
                <w:szCs w:val="21"/>
              </w:rPr>
              <w:t>2</w:t>
            </w:r>
          </w:p>
        </w:tc>
      </w:tr>
      <w:tr w:rsidR="009F22D3" w:rsidRPr="008D1E23" w14:paraId="4D48705D" w14:textId="77777777" w:rsidTr="007B0EAA">
        <w:tc>
          <w:tcPr>
            <w:tcW w:w="1135" w:type="dxa"/>
            <w:shd w:val="clear" w:color="auto" w:fill="auto"/>
          </w:tcPr>
          <w:p w14:paraId="5A6E90EA" w14:textId="77777777" w:rsidR="009F22D3" w:rsidRPr="008D1E23" w:rsidRDefault="009F22D3" w:rsidP="007B0EAA">
            <w:pPr>
              <w:pStyle w:val="ListParagraph"/>
              <w:ind w:left="0"/>
              <w:jc w:val="both"/>
              <w:rPr>
                <w:sz w:val="21"/>
                <w:szCs w:val="21"/>
              </w:rPr>
            </w:pPr>
            <w:r w:rsidRPr="008D1E23">
              <w:rPr>
                <w:color w:val="000000"/>
                <w:sz w:val="21"/>
                <w:szCs w:val="21"/>
              </w:rPr>
              <w:t>PVG 813</w:t>
            </w:r>
          </w:p>
        </w:tc>
        <w:tc>
          <w:tcPr>
            <w:tcW w:w="3040" w:type="dxa"/>
            <w:shd w:val="clear" w:color="auto" w:fill="auto"/>
          </w:tcPr>
          <w:p w14:paraId="5EBA4915" w14:textId="77777777" w:rsidR="009F22D3" w:rsidRPr="008D1E23" w:rsidRDefault="009F22D3" w:rsidP="007B0EAA">
            <w:pPr>
              <w:pStyle w:val="ListParagraph"/>
              <w:ind w:left="0"/>
              <w:jc w:val="both"/>
              <w:rPr>
                <w:sz w:val="21"/>
                <w:szCs w:val="21"/>
              </w:rPr>
            </w:pPr>
            <w:r w:rsidRPr="008D1E23">
              <w:rPr>
                <w:rFonts w:eastAsia="AdvPTimesB"/>
                <w:color w:val="000000"/>
                <w:sz w:val="21"/>
                <w:szCs w:val="21"/>
                <w:lang w:val="en-GB"/>
              </w:rPr>
              <w:t>Pharmacovigilance communication</w:t>
            </w:r>
          </w:p>
        </w:tc>
        <w:tc>
          <w:tcPr>
            <w:tcW w:w="1268" w:type="dxa"/>
            <w:shd w:val="clear" w:color="auto" w:fill="auto"/>
          </w:tcPr>
          <w:p w14:paraId="2B928FEF" w14:textId="77777777" w:rsidR="009F22D3" w:rsidRPr="008D1E23" w:rsidRDefault="009F22D3" w:rsidP="007B0EAA">
            <w:pPr>
              <w:pStyle w:val="ListParagraph"/>
              <w:ind w:left="0"/>
              <w:rPr>
                <w:sz w:val="21"/>
                <w:szCs w:val="21"/>
              </w:rPr>
            </w:pPr>
            <w:r w:rsidRPr="008D1E23">
              <w:rPr>
                <w:sz w:val="21"/>
                <w:szCs w:val="21"/>
              </w:rPr>
              <w:t>Elective</w:t>
            </w:r>
          </w:p>
        </w:tc>
        <w:tc>
          <w:tcPr>
            <w:tcW w:w="761" w:type="dxa"/>
            <w:shd w:val="clear" w:color="auto" w:fill="auto"/>
          </w:tcPr>
          <w:p w14:paraId="30A88D7B" w14:textId="77777777" w:rsidR="009F22D3" w:rsidRPr="008D1E23" w:rsidRDefault="009F22D3" w:rsidP="007B0EAA">
            <w:pPr>
              <w:pStyle w:val="ListParagraph"/>
              <w:ind w:left="0"/>
              <w:jc w:val="center"/>
              <w:rPr>
                <w:sz w:val="21"/>
                <w:szCs w:val="21"/>
              </w:rPr>
            </w:pPr>
            <w:r w:rsidRPr="008D1E23">
              <w:rPr>
                <w:sz w:val="21"/>
                <w:szCs w:val="21"/>
              </w:rPr>
              <w:t>2</w:t>
            </w:r>
          </w:p>
        </w:tc>
      </w:tr>
      <w:tr w:rsidR="009F22D3" w:rsidRPr="008D1E23" w14:paraId="74346C7B" w14:textId="77777777" w:rsidTr="007B0EAA">
        <w:tc>
          <w:tcPr>
            <w:tcW w:w="1135" w:type="dxa"/>
            <w:shd w:val="clear" w:color="auto" w:fill="auto"/>
          </w:tcPr>
          <w:p w14:paraId="6F0B80F7" w14:textId="77777777" w:rsidR="009F22D3" w:rsidRPr="008D1E23" w:rsidRDefault="009F22D3" w:rsidP="007B0EAA">
            <w:pPr>
              <w:pStyle w:val="ListParagraph"/>
              <w:ind w:left="0"/>
              <w:jc w:val="both"/>
              <w:rPr>
                <w:color w:val="000000"/>
                <w:sz w:val="21"/>
                <w:szCs w:val="21"/>
              </w:rPr>
            </w:pPr>
            <w:r w:rsidRPr="008D1E23">
              <w:rPr>
                <w:color w:val="000000"/>
                <w:sz w:val="21"/>
                <w:szCs w:val="21"/>
              </w:rPr>
              <w:t>PCH 808</w:t>
            </w:r>
          </w:p>
        </w:tc>
        <w:tc>
          <w:tcPr>
            <w:tcW w:w="3040" w:type="dxa"/>
            <w:shd w:val="clear" w:color="auto" w:fill="auto"/>
          </w:tcPr>
          <w:p w14:paraId="275F7420" w14:textId="77777777" w:rsidR="009F22D3" w:rsidRPr="008D1E23" w:rsidRDefault="009F22D3" w:rsidP="007B0EAA">
            <w:pPr>
              <w:pStyle w:val="ListParagraph"/>
              <w:ind w:left="0"/>
              <w:jc w:val="both"/>
              <w:rPr>
                <w:rFonts w:eastAsia="AdvPTimes"/>
                <w:color w:val="000000"/>
                <w:sz w:val="21"/>
                <w:szCs w:val="21"/>
                <w:lang w:val="en-GB"/>
              </w:rPr>
            </w:pPr>
            <w:r w:rsidRPr="008D1E23">
              <w:rPr>
                <w:color w:val="000000"/>
                <w:sz w:val="21"/>
                <w:szCs w:val="21"/>
              </w:rPr>
              <w:t>Biotransformation reactions, Pharmacogenomic/Pharmacogenetics &amp; Personalized medicines</w:t>
            </w:r>
          </w:p>
        </w:tc>
        <w:tc>
          <w:tcPr>
            <w:tcW w:w="1268" w:type="dxa"/>
            <w:shd w:val="clear" w:color="auto" w:fill="auto"/>
          </w:tcPr>
          <w:p w14:paraId="13F6B4C9" w14:textId="77777777" w:rsidR="009F22D3" w:rsidRPr="008D1E23" w:rsidRDefault="009F22D3" w:rsidP="007B0EAA">
            <w:pPr>
              <w:pStyle w:val="ListParagraph"/>
              <w:ind w:left="0"/>
              <w:rPr>
                <w:sz w:val="21"/>
                <w:szCs w:val="21"/>
              </w:rPr>
            </w:pPr>
            <w:r w:rsidRPr="008D1E23">
              <w:rPr>
                <w:sz w:val="21"/>
                <w:szCs w:val="21"/>
              </w:rPr>
              <w:t>Elective</w:t>
            </w:r>
          </w:p>
        </w:tc>
        <w:tc>
          <w:tcPr>
            <w:tcW w:w="761" w:type="dxa"/>
            <w:shd w:val="clear" w:color="auto" w:fill="auto"/>
          </w:tcPr>
          <w:p w14:paraId="7A824F98" w14:textId="77777777" w:rsidR="009F22D3" w:rsidRPr="008D1E23" w:rsidRDefault="009F22D3" w:rsidP="007B0EAA">
            <w:pPr>
              <w:pStyle w:val="ListParagraph"/>
              <w:ind w:left="0"/>
              <w:jc w:val="center"/>
              <w:rPr>
                <w:sz w:val="21"/>
                <w:szCs w:val="21"/>
              </w:rPr>
            </w:pPr>
            <w:r w:rsidRPr="008D1E23">
              <w:rPr>
                <w:color w:val="000000"/>
                <w:sz w:val="21"/>
                <w:szCs w:val="21"/>
              </w:rPr>
              <w:t>2</w:t>
            </w:r>
          </w:p>
        </w:tc>
      </w:tr>
      <w:tr w:rsidR="009F22D3" w:rsidRPr="008D1E23" w14:paraId="501CEBA1" w14:textId="77777777" w:rsidTr="007B0EAA">
        <w:trPr>
          <w:trHeight w:val="647"/>
        </w:trPr>
        <w:tc>
          <w:tcPr>
            <w:tcW w:w="1135" w:type="dxa"/>
            <w:shd w:val="clear" w:color="auto" w:fill="auto"/>
          </w:tcPr>
          <w:p w14:paraId="1A32AB0A" w14:textId="77777777" w:rsidR="009F22D3" w:rsidRPr="008D1E23" w:rsidRDefault="009F22D3" w:rsidP="007B0EAA">
            <w:pPr>
              <w:pStyle w:val="ListParagraph"/>
              <w:ind w:left="0"/>
              <w:jc w:val="both"/>
              <w:rPr>
                <w:sz w:val="21"/>
                <w:szCs w:val="21"/>
              </w:rPr>
            </w:pPr>
          </w:p>
        </w:tc>
        <w:tc>
          <w:tcPr>
            <w:tcW w:w="3040" w:type="dxa"/>
            <w:shd w:val="clear" w:color="auto" w:fill="auto"/>
          </w:tcPr>
          <w:p w14:paraId="24D857F4" w14:textId="77777777" w:rsidR="009F22D3" w:rsidRPr="008D1E23" w:rsidRDefault="009F22D3" w:rsidP="007B0EAA">
            <w:pPr>
              <w:pStyle w:val="ListParagraph"/>
              <w:ind w:left="0"/>
              <w:jc w:val="both"/>
              <w:rPr>
                <w:b/>
                <w:bCs/>
                <w:sz w:val="21"/>
                <w:szCs w:val="21"/>
              </w:rPr>
            </w:pPr>
            <w:r w:rsidRPr="008D1E23">
              <w:rPr>
                <w:b/>
                <w:bCs/>
                <w:sz w:val="21"/>
                <w:szCs w:val="21"/>
              </w:rPr>
              <w:t>Total Units</w:t>
            </w:r>
          </w:p>
        </w:tc>
        <w:tc>
          <w:tcPr>
            <w:tcW w:w="1268" w:type="dxa"/>
            <w:shd w:val="clear" w:color="auto" w:fill="auto"/>
          </w:tcPr>
          <w:p w14:paraId="1AB303C2" w14:textId="77777777" w:rsidR="009F22D3" w:rsidRPr="008D1E23" w:rsidRDefault="009F22D3" w:rsidP="007B0EAA">
            <w:pPr>
              <w:pStyle w:val="ListParagraph"/>
              <w:ind w:left="0"/>
              <w:jc w:val="center"/>
              <w:rPr>
                <w:b/>
                <w:bCs/>
                <w:sz w:val="21"/>
                <w:szCs w:val="21"/>
              </w:rPr>
            </w:pPr>
            <w:r w:rsidRPr="008D1E23">
              <w:rPr>
                <w:b/>
                <w:bCs/>
                <w:sz w:val="21"/>
                <w:szCs w:val="21"/>
              </w:rPr>
              <w:t>Compulsory</w:t>
            </w:r>
          </w:p>
          <w:p w14:paraId="60A3F454" w14:textId="77777777" w:rsidR="009F22D3" w:rsidRPr="008D1E23" w:rsidRDefault="009F22D3" w:rsidP="007B0EAA">
            <w:pPr>
              <w:pStyle w:val="ListParagraph"/>
              <w:ind w:left="0"/>
              <w:rPr>
                <w:b/>
                <w:bCs/>
                <w:sz w:val="21"/>
                <w:szCs w:val="21"/>
              </w:rPr>
            </w:pPr>
            <w:r w:rsidRPr="008D1E23">
              <w:rPr>
                <w:b/>
                <w:bCs/>
                <w:sz w:val="21"/>
                <w:szCs w:val="21"/>
              </w:rPr>
              <w:t>Elective</w:t>
            </w:r>
          </w:p>
        </w:tc>
        <w:tc>
          <w:tcPr>
            <w:tcW w:w="761" w:type="dxa"/>
            <w:shd w:val="clear" w:color="auto" w:fill="auto"/>
          </w:tcPr>
          <w:p w14:paraId="0CE125F7" w14:textId="77777777" w:rsidR="009F22D3" w:rsidRPr="008D1E23" w:rsidRDefault="009F22D3" w:rsidP="007B0EAA">
            <w:pPr>
              <w:pStyle w:val="ListParagraph"/>
              <w:ind w:left="0"/>
              <w:jc w:val="center"/>
              <w:rPr>
                <w:b/>
                <w:bCs/>
                <w:sz w:val="21"/>
                <w:szCs w:val="21"/>
              </w:rPr>
            </w:pPr>
            <w:r w:rsidRPr="008D1E23">
              <w:rPr>
                <w:b/>
                <w:bCs/>
                <w:sz w:val="21"/>
                <w:szCs w:val="21"/>
              </w:rPr>
              <w:t>12</w:t>
            </w:r>
          </w:p>
          <w:p w14:paraId="347A3A57" w14:textId="77777777" w:rsidR="009F22D3" w:rsidRPr="008D1E23" w:rsidRDefault="009F22D3" w:rsidP="007B0EAA">
            <w:pPr>
              <w:pStyle w:val="ListParagraph"/>
              <w:ind w:left="0"/>
              <w:jc w:val="center"/>
              <w:rPr>
                <w:b/>
                <w:bCs/>
                <w:sz w:val="21"/>
                <w:szCs w:val="21"/>
              </w:rPr>
            </w:pPr>
            <w:r w:rsidRPr="008D1E23">
              <w:rPr>
                <w:b/>
                <w:bCs/>
                <w:sz w:val="21"/>
                <w:szCs w:val="21"/>
              </w:rPr>
              <w:t>4</w:t>
            </w:r>
          </w:p>
        </w:tc>
      </w:tr>
    </w:tbl>
    <w:p w14:paraId="00885908" w14:textId="77777777" w:rsidR="009F22D3" w:rsidRPr="007F163A" w:rsidRDefault="009F22D3" w:rsidP="009F22D3">
      <w:pPr>
        <w:pStyle w:val="ListParagraph"/>
        <w:ind w:left="0"/>
        <w:jc w:val="both"/>
        <w:rPr>
          <w:i/>
          <w:sz w:val="22"/>
          <w:szCs w:val="22"/>
        </w:rPr>
      </w:pPr>
    </w:p>
    <w:p w14:paraId="09CC3DB5" w14:textId="77777777" w:rsidR="009F22D3" w:rsidRPr="007F163A" w:rsidRDefault="009F22D3" w:rsidP="009F22D3">
      <w:pPr>
        <w:pStyle w:val="ListParagraph"/>
        <w:ind w:left="0"/>
        <w:jc w:val="both"/>
        <w:rPr>
          <w:i/>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4871"/>
        <w:gridCol w:w="1483"/>
        <w:gridCol w:w="1059"/>
      </w:tblGrid>
      <w:tr w:rsidR="009F22D3" w:rsidRPr="007F163A" w14:paraId="61AB64EE" w14:textId="77777777" w:rsidTr="007B0EAA">
        <w:trPr>
          <w:trHeight w:val="366"/>
        </w:trPr>
        <w:tc>
          <w:tcPr>
            <w:tcW w:w="8630" w:type="dxa"/>
            <w:gridSpan w:val="4"/>
            <w:tcBorders>
              <w:top w:val="nil"/>
              <w:left w:val="nil"/>
              <w:right w:val="nil"/>
            </w:tcBorders>
            <w:shd w:val="clear" w:color="auto" w:fill="auto"/>
          </w:tcPr>
          <w:p w14:paraId="7B680C43" w14:textId="77777777" w:rsidR="009F22D3" w:rsidRPr="007F163A" w:rsidRDefault="009F22D3" w:rsidP="007B0EAA">
            <w:pPr>
              <w:pStyle w:val="ListParagraph"/>
              <w:ind w:left="0"/>
              <w:jc w:val="both"/>
              <w:rPr>
                <w:b/>
                <w:bCs/>
                <w:sz w:val="22"/>
                <w:szCs w:val="22"/>
              </w:rPr>
            </w:pPr>
            <w:r w:rsidRPr="007F163A">
              <w:rPr>
                <w:b/>
                <w:bCs/>
                <w:sz w:val="22"/>
                <w:szCs w:val="22"/>
              </w:rPr>
              <w:t>800 LEVEL          SECOND SEMESTER</w:t>
            </w:r>
          </w:p>
        </w:tc>
      </w:tr>
      <w:tr w:rsidR="009F22D3" w:rsidRPr="007F163A" w14:paraId="148BC4E3" w14:textId="77777777" w:rsidTr="007B0EAA">
        <w:trPr>
          <w:trHeight w:val="453"/>
        </w:trPr>
        <w:tc>
          <w:tcPr>
            <w:tcW w:w="1217" w:type="dxa"/>
            <w:shd w:val="clear" w:color="auto" w:fill="auto"/>
          </w:tcPr>
          <w:p w14:paraId="074BE6FD" w14:textId="77777777" w:rsidR="009F22D3" w:rsidRPr="007F163A" w:rsidRDefault="009F22D3" w:rsidP="007B0EAA">
            <w:pPr>
              <w:pStyle w:val="ListParagraph"/>
              <w:ind w:left="0"/>
              <w:jc w:val="both"/>
              <w:rPr>
                <w:b/>
                <w:bCs/>
                <w:sz w:val="22"/>
                <w:szCs w:val="22"/>
              </w:rPr>
            </w:pPr>
            <w:r w:rsidRPr="007F163A">
              <w:rPr>
                <w:b/>
                <w:bCs/>
                <w:sz w:val="22"/>
                <w:szCs w:val="22"/>
              </w:rPr>
              <w:t>COURSE CODE</w:t>
            </w:r>
          </w:p>
        </w:tc>
        <w:tc>
          <w:tcPr>
            <w:tcW w:w="4871" w:type="dxa"/>
            <w:shd w:val="clear" w:color="auto" w:fill="auto"/>
          </w:tcPr>
          <w:p w14:paraId="05E93A4D" w14:textId="77777777" w:rsidR="009F22D3" w:rsidRPr="007F163A" w:rsidRDefault="009F22D3" w:rsidP="007B0EAA">
            <w:pPr>
              <w:pStyle w:val="ListParagraph"/>
              <w:ind w:left="0"/>
              <w:jc w:val="both"/>
              <w:rPr>
                <w:b/>
                <w:bCs/>
                <w:sz w:val="22"/>
                <w:szCs w:val="22"/>
              </w:rPr>
            </w:pPr>
            <w:r w:rsidRPr="007F163A">
              <w:rPr>
                <w:b/>
                <w:bCs/>
                <w:sz w:val="22"/>
                <w:szCs w:val="22"/>
              </w:rPr>
              <w:t>COURSE TITLE</w:t>
            </w:r>
          </w:p>
        </w:tc>
        <w:tc>
          <w:tcPr>
            <w:tcW w:w="1483" w:type="dxa"/>
            <w:shd w:val="clear" w:color="auto" w:fill="auto"/>
          </w:tcPr>
          <w:p w14:paraId="5F6E4CE6" w14:textId="77777777" w:rsidR="009F22D3" w:rsidRPr="007F163A" w:rsidRDefault="009F22D3" w:rsidP="007B0EAA">
            <w:pPr>
              <w:pStyle w:val="ListParagraph"/>
              <w:ind w:left="0"/>
              <w:jc w:val="both"/>
              <w:rPr>
                <w:b/>
                <w:bCs/>
                <w:sz w:val="22"/>
                <w:szCs w:val="22"/>
              </w:rPr>
            </w:pPr>
            <w:r w:rsidRPr="007F163A">
              <w:rPr>
                <w:b/>
                <w:bCs/>
                <w:sz w:val="22"/>
                <w:szCs w:val="22"/>
              </w:rPr>
              <w:t xml:space="preserve">STATUS </w:t>
            </w:r>
          </w:p>
        </w:tc>
        <w:tc>
          <w:tcPr>
            <w:tcW w:w="1059" w:type="dxa"/>
            <w:shd w:val="clear" w:color="auto" w:fill="auto"/>
          </w:tcPr>
          <w:p w14:paraId="258904D9" w14:textId="77777777" w:rsidR="009F22D3" w:rsidRPr="007F163A" w:rsidRDefault="009F22D3" w:rsidP="007B0EAA">
            <w:pPr>
              <w:pStyle w:val="ListParagraph"/>
              <w:ind w:left="0"/>
              <w:jc w:val="both"/>
              <w:rPr>
                <w:b/>
                <w:bCs/>
                <w:sz w:val="22"/>
                <w:szCs w:val="22"/>
              </w:rPr>
            </w:pPr>
            <w:r w:rsidRPr="007F163A">
              <w:rPr>
                <w:b/>
                <w:bCs/>
                <w:sz w:val="22"/>
                <w:szCs w:val="22"/>
              </w:rPr>
              <w:t>UNITS</w:t>
            </w:r>
          </w:p>
        </w:tc>
      </w:tr>
      <w:tr w:rsidR="009F22D3" w:rsidRPr="007F163A" w14:paraId="64EC3774" w14:textId="77777777" w:rsidTr="007B0EAA">
        <w:trPr>
          <w:trHeight w:val="367"/>
        </w:trPr>
        <w:tc>
          <w:tcPr>
            <w:tcW w:w="1217" w:type="dxa"/>
            <w:shd w:val="clear" w:color="auto" w:fill="auto"/>
          </w:tcPr>
          <w:p w14:paraId="510CF9F4" w14:textId="77777777" w:rsidR="009F22D3" w:rsidRPr="007F163A" w:rsidRDefault="009F22D3" w:rsidP="007B0EAA">
            <w:pPr>
              <w:pStyle w:val="ListParagraph"/>
              <w:ind w:left="0"/>
              <w:jc w:val="both"/>
              <w:rPr>
                <w:bCs/>
                <w:sz w:val="22"/>
                <w:szCs w:val="22"/>
              </w:rPr>
            </w:pPr>
            <w:r w:rsidRPr="007F163A">
              <w:rPr>
                <w:sz w:val="22"/>
                <w:szCs w:val="22"/>
              </w:rPr>
              <w:t>PVG 821</w:t>
            </w:r>
          </w:p>
        </w:tc>
        <w:tc>
          <w:tcPr>
            <w:tcW w:w="4871" w:type="dxa"/>
            <w:shd w:val="clear" w:color="auto" w:fill="auto"/>
          </w:tcPr>
          <w:p w14:paraId="79DDD609" w14:textId="77777777" w:rsidR="009F22D3" w:rsidRPr="007F163A" w:rsidRDefault="009F22D3" w:rsidP="007B0EAA">
            <w:pPr>
              <w:pStyle w:val="ListParagraph"/>
              <w:ind w:left="0"/>
              <w:jc w:val="both"/>
              <w:rPr>
                <w:sz w:val="22"/>
                <w:szCs w:val="22"/>
              </w:rPr>
            </w:pPr>
            <w:r w:rsidRPr="007F163A">
              <w:rPr>
                <w:rFonts w:eastAsia="AdvPTimesB"/>
                <w:color w:val="000000"/>
                <w:sz w:val="22"/>
                <w:szCs w:val="22"/>
                <w:lang w:val="en-GB"/>
              </w:rPr>
              <w:t xml:space="preserve">Pharmacovigilance regulations </w:t>
            </w:r>
          </w:p>
        </w:tc>
        <w:tc>
          <w:tcPr>
            <w:tcW w:w="1483" w:type="dxa"/>
            <w:shd w:val="clear" w:color="auto" w:fill="auto"/>
          </w:tcPr>
          <w:p w14:paraId="4E6913A6" w14:textId="77777777" w:rsidR="009F22D3" w:rsidRPr="007F163A" w:rsidRDefault="009F22D3" w:rsidP="007B0EAA">
            <w:pPr>
              <w:pStyle w:val="ListParagraph"/>
              <w:ind w:left="0"/>
              <w:jc w:val="center"/>
              <w:rPr>
                <w:sz w:val="22"/>
                <w:szCs w:val="22"/>
              </w:rPr>
            </w:pPr>
            <w:r w:rsidRPr="007F163A">
              <w:rPr>
                <w:sz w:val="22"/>
                <w:szCs w:val="22"/>
              </w:rPr>
              <w:t>Compulsory</w:t>
            </w:r>
          </w:p>
        </w:tc>
        <w:tc>
          <w:tcPr>
            <w:tcW w:w="1059" w:type="dxa"/>
            <w:shd w:val="clear" w:color="auto" w:fill="auto"/>
          </w:tcPr>
          <w:p w14:paraId="3023B53A" w14:textId="77777777" w:rsidR="009F22D3" w:rsidRPr="007F163A" w:rsidRDefault="009F22D3" w:rsidP="007B0EAA">
            <w:pPr>
              <w:pStyle w:val="ListParagraph"/>
              <w:ind w:left="0"/>
              <w:jc w:val="center"/>
              <w:rPr>
                <w:sz w:val="22"/>
                <w:szCs w:val="22"/>
              </w:rPr>
            </w:pPr>
            <w:r w:rsidRPr="007F163A">
              <w:rPr>
                <w:color w:val="000000"/>
                <w:sz w:val="22"/>
                <w:szCs w:val="22"/>
                <w:lang w:val="en-GB"/>
              </w:rPr>
              <w:t>2</w:t>
            </w:r>
          </w:p>
        </w:tc>
      </w:tr>
      <w:tr w:rsidR="009F22D3" w:rsidRPr="007F163A" w14:paraId="602DFE40" w14:textId="77777777" w:rsidTr="007B0EAA">
        <w:trPr>
          <w:trHeight w:val="366"/>
        </w:trPr>
        <w:tc>
          <w:tcPr>
            <w:tcW w:w="1217" w:type="dxa"/>
            <w:shd w:val="clear" w:color="auto" w:fill="auto"/>
          </w:tcPr>
          <w:p w14:paraId="55183E9F" w14:textId="77777777" w:rsidR="009F22D3" w:rsidRPr="007F163A" w:rsidRDefault="009F22D3" w:rsidP="007B0EAA">
            <w:pPr>
              <w:pStyle w:val="ListParagraph"/>
              <w:ind w:left="0"/>
              <w:jc w:val="both"/>
              <w:rPr>
                <w:bCs/>
                <w:sz w:val="22"/>
                <w:szCs w:val="22"/>
              </w:rPr>
            </w:pPr>
            <w:r w:rsidRPr="007F163A">
              <w:rPr>
                <w:bCs/>
                <w:color w:val="000000"/>
                <w:sz w:val="22"/>
                <w:szCs w:val="22"/>
              </w:rPr>
              <w:t>PVG 828</w:t>
            </w:r>
          </w:p>
        </w:tc>
        <w:tc>
          <w:tcPr>
            <w:tcW w:w="4871" w:type="dxa"/>
            <w:shd w:val="clear" w:color="auto" w:fill="auto"/>
          </w:tcPr>
          <w:p w14:paraId="1E273FAB" w14:textId="77777777" w:rsidR="009F22D3" w:rsidRPr="007F163A" w:rsidRDefault="009F22D3" w:rsidP="007B0EAA">
            <w:pPr>
              <w:pStyle w:val="ListParagraph"/>
              <w:ind w:left="0"/>
              <w:jc w:val="both"/>
              <w:rPr>
                <w:sz w:val="22"/>
                <w:szCs w:val="22"/>
              </w:rPr>
            </w:pPr>
            <w:r w:rsidRPr="007F163A">
              <w:rPr>
                <w:bCs/>
                <w:sz w:val="22"/>
                <w:szCs w:val="22"/>
              </w:rPr>
              <w:t>Research Seminar on Recent Advances in Pharmacovigilance</w:t>
            </w:r>
            <w:r w:rsidRPr="007F163A">
              <w:rPr>
                <w:bCs/>
                <w:sz w:val="22"/>
                <w:szCs w:val="22"/>
                <w:lang w:val="en-GB"/>
              </w:rPr>
              <w:t xml:space="preserve"> and Pharmacoepidemiology</w:t>
            </w:r>
          </w:p>
        </w:tc>
        <w:tc>
          <w:tcPr>
            <w:tcW w:w="1483" w:type="dxa"/>
            <w:shd w:val="clear" w:color="auto" w:fill="auto"/>
          </w:tcPr>
          <w:p w14:paraId="62C237CB" w14:textId="77777777" w:rsidR="009F22D3" w:rsidRPr="007F163A" w:rsidRDefault="009F22D3" w:rsidP="007B0EAA">
            <w:pPr>
              <w:pStyle w:val="ListParagraph"/>
              <w:ind w:left="0"/>
              <w:jc w:val="center"/>
              <w:rPr>
                <w:sz w:val="22"/>
                <w:szCs w:val="22"/>
              </w:rPr>
            </w:pPr>
            <w:r w:rsidRPr="007F163A">
              <w:rPr>
                <w:sz w:val="22"/>
                <w:szCs w:val="22"/>
              </w:rPr>
              <w:t>Compulsory</w:t>
            </w:r>
          </w:p>
        </w:tc>
        <w:tc>
          <w:tcPr>
            <w:tcW w:w="1059" w:type="dxa"/>
            <w:shd w:val="clear" w:color="auto" w:fill="auto"/>
          </w:tcPr>
          <w:p w14:paraId="4FE35B2F" w14:textId="77777777" w:rsidR="009F22D3" w:rsidRPr="007F163A" w:rsidRDefault="009F22D3" w:rsidP="007B0EAA">
            <w:pPr>
              <w:pStyle w:val="ListParagraph"/>
              <w:ind w:left="0"/>
              <w:jc w:val="center"/>
              <w:rPr>
                <w:sz w:val="22"/>
                <w:szCs w:val="22"/>
              </w:rPr>
            </w:pPr>
            <w:r w:rsidRPr="007F163A">
              <w:rPr>
                <w:color w:val="000000"/>
                <w:sz w:val="22"/>
                <w:szCs w:val="22"/>
              </w:rPr>
              <w:t>2</w:t>
            </w:r>
          </w:p>
        </w:tc>
      </w:tr>
      <w:tr w:rsidR="009F22D3" w:rsidRPr="007F163A" w14:paraId="6132ADB9" w14:textId="77777777" w:rsidTr="007B0EAA">
        <w:trPr>
          <w:trHeight w:val="366"/>
        </w:trPr>
        <w:tc>
          <w:tcPr>
            <w:tcW w:w="1217" w:type="dxa"/>
            <w:shd w:val="clear" w:color="auto" w:fill="auto"/>
          </w:tcPr>
          <w:p w14:paraId="5F7FD7D5" w14:textId="77777777" w:rsidR="009F22D3" w:rsidRPr="007F163A" w:rsidRDefault="009F22D3" w:rsidP="007B0EAA">
            <w:pPr>
              <w:pStyle w:val="ListParagraph"/>
              <w:ind w:left="0"/>
              <w:jc w:val="both"/>
              <w:rPr>
                <w:bCs/>
                <w:color w:val="000000"/>
                <w:sz w:val="22"/>
                <w:szCs w:val="22"/>
              </w:rPr>
            </w:pPr>
            <w:r w:rsidRPr="007F163A">
              <w:rPr>
                <w:bCs/>
                <w:color w:val="000000"/>
                <w:sz w:val="22"/>
                <w:szCs w:val="22"/>
              </w:rPr>
              <w:t>PVG 829</w:t>
            </w:r>
          </w:p>
        </w:tc>
        <w:tc>
          <w:tcPr>
            <w:tcW w:w="4871" w:type="dxa"/>
            <w:shd w:val="clear" w:color="auto" w:fill="auto"/>
          </w:tcPr>
          <w:p w14:paraId="4687E683" w14:textId="77777777" w:rsidR="009F22D3" w:rsidRPr="007F163A" w:rsidRDefault="009F22D3" w:rsidP="007B0EAA">
            <w:pPr>
              <w:pStyle w:val="ListParagraph"/>
              <w:ind w:left="0"/>
              <w:jc w:val="both"/>
              <w:rPr>
                <w:bCs/>
                <w:sz w:val="22"/>
                <w:szCs w:val="22"/>
              </w:rPr>
            </w:pPr>
            <w:r w:rsidRPr="007F163A">
              <w:rPr>
                <w:bCs/>
                <w:color w:val="000000"/>
                <w:sz w:val="22"/>
                <w:szCs w:val="22"/>
              </w:rPr>
              <w:t>Research Project</w:t>
            </w:r>
          </w:p>
        </w:tc>
        <w:tc>
          <w:tcPr>
            <w:tcW w:w="1483" w:type="dxa"/>
            <w:shd w:val="clear" w:color="auto" w:fill="auto"/>
          </w:tcPr>
          <w:p w14:paraId="66A30B26" w14:textId="77777777" w:rsidR="009F22D3" w:rsidRPr="007F163A" w:rsidRDefault="009F22D3" w:rsidP="007B0EAA">
            <w:pPr>
              <w:pStyle w:val="ListParagraph"/>
              <w:ind w:left="0"/>
              <w:jc w:val="center"/>
              <w:rPr>
                <w:sz w:val="22"/>
                <w:szCs w:val="22"/>
              </w:rPr>
            </w:pPr>
            <w:r w:rsidRPr="007F163A">
              <w:rPr>
                <w:sz w:val="22"/>
                <w:szCs w:val="22"/>
              </w:rPr>
              <w:t>Compulsory</w:t>
            </w:r>
          </w:p>
        </w:tc>
        <w:tc>
          <w:tcPr>
            <w:tcW w:w="1059" w:type="dxa"/>
            <w:shd w:val="clear" w:color="auto" w:fill="auto"/>
          </w:tcPr>
          <w:p w14:paraId="17EFAFA9" w14:textId="77777777" w:rsidR="009F22D3" w:rsidRPr="007F163A" w:rsidRDefault="009F22D3" w:rsidP="007B0EAA">
            <w:pPr>
              <w:pStyle w:val="ListParagraph"/>
              <w:ind w:left="0"/>
              <w:jc w:val="center"/>
              <w:rPr>
                <w:color w:val="000000"/>
                <w:sz w:val="22"/>
                <w:szCs w:val="22"/>
              </w:rPr>
            </w:pPr>
            <w:r w:rsidRPr="007F163A">
              <w:rPr>
                <w:sz w:val="22"/>
                <w:szCs w:val="22"/>
              </w:rPr>
              <w:t>4</w:t>
            </w:r>
          </w:p>
        </w:tc>
      </w:tr>
      <w:tr w:rsidR="009F22D3" w:rsidRPr="007F163A" w14:paraId="052E4299" w14:textId="77777777" w:rsidTr="007B0EAA">
        <w:trPr>
          <w:trHeight w:val="453"/>
        </w:trPr>
        <w:tc>
          <w:tcPr>
            <w:tcW w:w="1217" w:type="dxa"/>
            <w:shd w:val="clear" w:color="auto" w:fill="auto"/>
          </w:tcPr>
          <w:p w14:paraId="703F8F69" w14:textId="77777777" w:rsidR="009F22D3" w:rsidRPr="007F163A" w:rsidRDefault="009F22D3" w:rsidP="007B0EAA">
            <w:pPr>
              <w:pStyle w:val="ListParagraph"/>
              <w:ind w:left="0"/>
              <w:jc w:val="both"/>
              <w:rPr>
                <w:bCs/>
                <w:sz w:val="22"/>
                <w:szCs w:val="22"/>
              </w:rPr>
            </w:pPr>
            <w:r w:rsidRPr="007F163A">
              <w:rPr>
                <w:sz w:val="22"/>
                <w:szCs w:val="22"/>
              </w:rPr>
              <w:t>PVG 822</w:t>
            </w:r>
          </w:p>
        </w:tc>
        <w:tc>
          <w:tcPr>
            <w:tcW w:w="4871" w:type="dxa"/>
            <w:shd w:val="clear" w:color="auto" w:fill="auto"/>
          </w:tcPr>
          <w:p w14:paraId="516D9CFD" w14:textId="77777777" w:rsidR="009F22D3" w:rsidRPr="007F163A" w:rsidRDefault="009F22D3" w:rsidP="007B0EAA">
            <w:pPr>
              <w:pStyle w:val="ListParagraph"/>
              <w:ind w:left="0"/>
              <w:jc w:val="both"/>
              <w:rPr>
                <w:sz w:val="22"/>
                <w:szCs w:val="22"/>
              </w:rPr>
            </w:pPr>
            <w:r w:rsidRPr="007F163A">
              <w:rPr>
                <w:rFonts w:eastAsia="AdvPTimesB"/>
                <w:color w:val="000000"/>
                <w:sz w:val="22"/>
                <w:szCs w:val="22"/>
              </w:rPr>
              <w:t>Pharmacovigilance and Risk Management Systems</w:t>
            </w:r>
          </w:p>
        </w:tc>
        <w:tc>
          <w:tcPr>
            <w:tcW w:w="1483" w:type="dxa"/>
            <w:shd w:val="clear" w:color="auto" w:fill="auto"/>
          </w:tcPr>
          <w:p w14:paraId="752C7AD6" w14:textId="77777777" w:rsidR="009F22D3" w:rsidRPr="007F163A" w:rsidRDefault="009F22D3" w:rsidP="007B0EAA">
            <w:pPr>
              <w:pStyle w:val="ListParagraph"/>
              <w:ind w:left="0"/>
              <w:jc w:val="center"/>
              <w:rPr>
                <w:sz w:val="22"/>
                <w:szCs w:val="22"/>
              </w:rPr>
            </w:pPr>
            <w:r w:rsidRPr="007F163A">
              <w:rPr>
                <w:sz w:val="22"/>
                <w:szCs w:val="22"/>
              </w:rPr>
              <w:t>Elective</w:t>
            </w:r>
          </w:p>
        </w:tc>
        <w:tc>
          <w:tcPr>
            <w:tcW w:w="1059" w:type="dxa"/>
            <w:shd w:val="clear" w:color="auto" w:fill="auto"/>
          </w:tcPr>
          <w:p w14:paraId="46715748" w14:textId="77777777" w:rsidR="009F22D3" w:rsidRPr="007F163A" w:rsidRDefault="009F22D3" w:rsidP="007B0EAA">
            <w:pPr>
              <w:pStyle w:val="ListParagraph"/>
              <w:ind w:left="0"/>
              <w:jc w:val="center"/>
              <w:rPr>
                <w:sz w:val="22"/>
                <w:szCs w:val="22"/>
              </w:rPr>
            </w:pPr>
            <w:r w:rsidRPr="007F163A">
              <w:rPr>
                <w:color w:val="000000"/>
                <w:sz w:val="22"/>
                <w:szCs w:val="22"/>
              </w:rPr>
              <w:t>1</w:t>
            </w:r>
          </w:p>
        </w:tc>
      </w:tr>
      <w:tr w:rsidR="009F22D3" w:rsidRPr="007F163A" w14:paraId="42EE1697" w14:textId="77777777" w:rsidTr="007B0EAA">
        <w:trPr>
          <w:trHeight w:val="366"/>
        </w:trPr>
        <w:tc>
          <w:tcPr>
            <w:tcW w:w="1217" w:type="dxa"/>
            <w:shd w:val="clear" w:color="auto" w:fill="auto"/>
          </w:tcPr>
          <w:p w14:paraId="5ABD881A" w14:textId="77777777" w:rsidR="009F22D3" w:rsidRPr="007F163A" w:rsidRDefault="009F22D3" w:rsidP="007B0EAA">
            <w:pPr>
              <w:pStyle w:val="ListParagraph"/>
              <w:ind w:left="0"/>
              <w:jc w:val="both"/>
              <w:rPr>
                <w:bCs/>
                <w:sz w:val="22"/>
                <w:szCs w:val="22"/>
              </w:rPr>
            </w:pPr>
            <w:r w:rsidRPr="007F163A">
              <w:rPr>
                <w:sz w:val="22"/>
                <w:szCs w:val="22"/>
              </w:rPr>
              <w:t>PVG 823</w:t>
            </w:r>
          </w:p>
        </w:tc>
        <w:tc>
          <w:tcPr>
            <w:tcW w:w="4871" w:type="dxa"/>
            <w:shd w:val="clear" w:color="auto" w:fill="auto"/>
          </w:tcPr>
          <w:p w14:paraId="341B20D7" w14:textId="77777777" w:rsidR="009F22D3" w:rsidRPr="007F163A" w:rsidRDefault="009F22D3" w:rsidP="007B0EAA">
            <w:pPr>
              <w:pStyle w:val="ListParagraph"/>
              <w:ind w:left="0"/>
              <w:jc w:val="both"/>
              <w:rPr>
                <w:sz w:val="22"/>
                <w:szCs w:val="22"/>
              </w:rPr>
            </w:pPr>
            <w:r w:rsidRPr="007F163A">
              <w:rPr>
                <w:rFonts w:eastAsia="AdvPTimesB"/>
                <w:color w:val="000000"/>
                <w:sz w:val="22"/>
                <w:szCs w:val="22"/>
                <w:lang w:eastAsia="zh-CN"/>
              </w:rPr>
              <w:t>Signal Detection and Management</w:t>
            </w:r>
          </w:p>
        </w:tc>
        <w:tc>
          <w:tcPr>
            <w:tcW w:w="1483" w:type="dxa"/>
            <w:shd w:val="clear" w:color="auto" w:fill="auto"/>
          </w:tcPr>
          <w:p w14:paraId="0FC7B851" w14:textId="77777777" w:rsidR="009F22D3" w:rsidRPr="007F163A" w:rsidRDefault="009F22D3" w:rsidP="007B0EAA">
            <w:pPr>
              <w:pStyle w:val="ListParagraph"/>
              <w:ind w:left="0"/>
              <w:jc w:val="center"/>
              <w:rPr>
                <w:sz w:val="22"/>
                <w:szCs w:val="22"/>
              </w:rPr>
            </w:pPr>
            <w:r w:rsidRPr="007F163A">
              <w:rPr>
                <w:sz w:val="22"/>
                <w:szCs w:val="22"/>
              </w:rPr>
              <w:t>Elective</w:t>
            </w:r>
          </w:p>
        </w:tc>
        <w:tc>
          <w:tcPr>
            <w:tcW w:w="1059" w:type="dxa"/>
            <w:shd w:val="clear" w:color="auto" w:fill="auto"/>
          </w:tcPr>
          <w:p w14:paraId="7BF6B797" w14:textId="77777777" w:rsidR="009F22D3" w:rsidRPr="007F163A" w:rsidRDefault="009F22D3" w:rsidP="007B0EAA">
            <w:pPr>
              <w:pStyle w:val="ListParagraph"/>
              <w:ind w:left="0"/>
              <w:jc w:val="center"/>
              <w:rPr>
                <w:sz w:val="22"/>
                <w:szCs w:val="22"/>
              </w:rPr>
            </w:pPr>
            <w:r w:rsidRPr="007F163A">
              <w:rPr>
                <w:color w:val="000000"/>
                <w:sz w:val="22"/>
                <w:szCs w:val="22"/>
                <w:lang w:val="en-GB"/>
              </w:rPr>
              <w:t>2</w:t>
            </w:r>
          </w:p>
        </w:tc>
      </w:tr>
      <w:tr w:rsidR="009F22D3" w:rsidRPr="007F163A" w14:paraId="79B46D67" w14:textId="77777777" w:rsidTr="007B0EAA">
        <w:trPr>
          <w:trHeight w:val="453"/>
        </w:trPr>
        <w:tc>
          <w:tcPr>
            <w:tcW w:w="1217" w:type="dxa"/>
            <w:shd w:val="clear" w:color="auto" w:fill="auto"/>
          </w:tcPr>
          <w:p w14:paraId="42E566B6" w14:textId="77777777" w:rsidR="009F22D3" w:rsidRPr="007F163A" w:rsidRDefault="009F22D3" w:rsidP="007B0EAA">
            <w:pPr>
              <w:pStyle w:val="ListParagraph"/>
              <w:ind w:left="0"/>
              <w:jc w:val="both"/>
              <w:rPr>
                <w:bCs/>
                <w:sz w:val="22"/>
                <w:szCs w:val="22"/>
              </w:rPr>
            </w:pPr>
            <w:r w:rsidRPr="007F163A">
              <w:rPr>
                <w:sz w:val="22"/>
                <w:szCs w:val="22"/>
              </w:rPr>
              <w:lastRenderedPageBreak/>
              <w:t>PVG 824</w:t>
            </w:r>
          </w:p>
        </w:tc>
        <w:tc>
          <w:tcPr>
            <w:tcW w:w="4871" w:type="dxa"/>
            <w:shd w:val="clear" w:color="auto" w:fill="auto"/>
          </w:tcPr>
          <w:p w14:paraId="75A2355F" w14:textId="77777777" w:rsidR="009F22D3" w:rsidRPr="007F163A" w:rsidRDefault="009F22D3" w:rsidP="007B0EAA">
            <w:pPr>
              <w:pStyle w:val="ListParagraph"/>
              <w:ind w:left="0"/>
              <w:jc w:val="both"/>
              <w:rPr>
                <w:sz w:val="22"/>
                <w:szCs w:val="22"/>
              </w:rPr>
            </w:pPr>
            <w:r w:rsidRPr="007F163A">
              <w:rPr>
                <w:rFonts w:eastAsia="AdvPTimesB"/>
                <w:color w:val="000000"/>
                <w:sz w:val="22"/>
                <w:szCs w:val="22"/>
              </w:rPr>
              <w:t>Medication error (ME): definition, impact, detection</w:t>
            </w:r>
          </w:p>
        </w:tc>
        <w:tc>
          <w:tcPr>
            <w:tcW w:w="1483" w:type="dxa"/>
            <w:shd w:val="clear" w:color="auto" w:fill="auto"/>
          </w:tcPr>
          <w:p w14:paraId="6AE674DF" w14:textId="77777777" w:rsidR="009F22D3" w:rsidRPr="007F163A" w:rsidRDefault="009F22D3" w:rsidP="007B0EAA">
            <w:pPr>
              <w:pStyle w:val="ListParagraph"/>
              <w:ind w:left="0"/>
              <w:jc w:val="center"/>
              <w:rPr>
                <w:sz w:val="22"/>
                <w:szCs w:val="22"/>
              </w:rPr>
            </w:pPr>
            <w:r w:rsidRPr="007F163A">
              <w:rPr>
                <w:sz w:val="22"/>
                <w:szCs w:val="22"/>
              </w:rPr>
              <w:t>Elective</w:t>
            </w:r>
          </w:p>
        </w:tc>
        <w:tc>
          <w:tcPr>
            <w:tcW w:w="1059" w:type="dxa"/>
            <w:shd w:val="clear" w:color="auto" w:fill="auto"/>
          </w:tcPr>
          <w:p w14:paraId="261E767D" w14:textId="77777777" w:rsidR="009F22D3" w:rsidRPr="007F163A" w:rsidRDefault="009F22D3" w:rsidP="007B0EAA">
            <w:pPr>
              <w:pStyle w:val="ListParagraph"/>
              <w:ind w:left="0"/>
              <w:jc w:val="center"/>
              <w:rPr>
                <w:sz w:val="22"/>
                <w:szCs w:val="22"/>
              </w:rPr>
            </w:pPr>
            <w:r w:rsidRPr="007F163A">
              <w:rPr>
                <w:color w:val="000000"/>
                <w:sz w:val="22"/>
                <w:szCs w:val="22"/>
              </w:rPr>
              <w:t>1</w:t>
            </w:r>
          </w:p>
        </w:tc>
      </w:tr>
      <w:tr w:rsidR="009F22D3" w:rsidRPr="007F163A" w14:paraId="1465448E" w14:textId="77777777" w:rsidTr="007B0EAA">
        <w:trPr>
          <w:trHeight w:val="520"/>
        </w:trPr>
        <w:tc>
          <w:tcPr>
            <w:tcW w:w="1217" w:type="dxa"/>
            <w:shd w:val="clear" w:color="auto" w:fill="auto"/>
          </w:tcPr>
          <w:p w14:paraId="19D5FA03" w14:textId="77777777" w:rsidR="009F22D3" w:rsidRPr="007F163A" w:rsidRDefault="009F22D3" w:rsidP="007B0EAA">
            <w:pPr>
              <w:pStyle w:val="ListParagraph"/>
              <w:ind w:left="0"/>
              <w:jc w:val="both"/>
              <w:rPr>
                <w:bCs/>
                <w:color w:val="000000"/>
                <w:sz w:val="22"/>
                <w:szCs w:val="22"/>
              </w:rPr>
            </w:pPr>
            <w:r w:rsidRPr="007F163A">
              <w:rPr>
                <w:sz w:val="22"/>
                <w:szCs w:val="22"/>
              </w:rPr>
              <w:t>PVG 825</w:t>
            </w:r>
          </w:p>
        </w:tc>
        <w:tc>
          <w:tcPr>
            <w:tcW w:w="4871" w:type="dxa"/>
            <w:shd w:val="clear" w:color="auto" w:fill="auto"/>
          </w:tcPr>
          <w:p w14:paraId="40E506A7" w14:textId="77777777" w:rsidR="009F22D3" w:rsidRPr="007F163A" w:rsidRDefault="009F22D3" w:rsidP="007B0EAA">
            <w:pPr>
              <w:jc w:val="both"/>
              <w:rPr>
                <w:rFonts w:eastAsia="AdvPTimesB"/>
                <w:color w:val="000000"/>
                <w:sz w:val="22"/>
                <w:szCs w:val="22"/>
              </w:rPr>
            </w:pPr>
            <w:r w:rsidRPr="007F163A">
              <w:rPr>
                <w:rFonts w:eastAsia="AdvPTimesB"/>
                <w:color w:val="000000"/>
                <w:sz w:val="22"/>
                <w:szCs w:val="22"/>
              </w:rPr>
              <w:t>Post-Authorization Observational Studies and Clinical Trials in PV</w:t>
            </w:r>
          </w:p>
        </w:tc>
        <w:tc>
          <w:tcPr>
            <w:tcW w:w="1483" w:type="dxa"/>
            <w:shd w:val="clear" w:color="auto" w:fill="auto"/>
          </w:tcPr>
          <w:p w14:paraId="2D3D0C09" w14:textId="77777777" w:rsidR="009F22D3" w:rsidRPr="007F163A" w:rsidRDefault="009F22D3" w:rsidP="007B0EAA">
            <w:pPr>
              <w:pStyle w:val="ListParagraph"/>
              <w:ind w:left="0"/>
              <w:jc w:val="center"/>
              <w:rPr>
                <w:sz w:val="22"/>
                <w:szCs w:val="22"/>
              </w:rPr>
            </w:pPr>
            <w:r w:rsidRPr="007F163A">
              <w:rPr>
                <w:sz w:val="22"/>
                <w:szCs w:val="22"/>
              </w:rPr>
              <w:t>Elective</w:t>
            </w:r>
          </w:p>
        </w:tc>
        <w:tc>
          <w:tcPr>
            <w:tcW w:w="1059" w:type="dxa"/>
            <w:shd w:val="clear" w:color="auto" w:fill="auto"/>
          </w:tcPr>
          <w:p w14:paraId="1A03872B" w14:textId="77777777" w:rsidR="009F22D3" w:rsidRPr="007F163A" w:rsidRDefault="009F22D3" w:rsidP="007B0EAA">
            <w:pPr>
              <w:pStyle w:val="ListParagraph"/>
              <w:ind w:left="0"/>
              <w:jc w:val="center"/>
              <w:rPr>
                <w:sz w:val="22"/>
                <w:szCs w:val="22"/>
              </w:rPr>
            </w:pPr>
            <w:r w:rsidRPr="007F163A">
              <w:rPr>
                <w:color w:val="000000"/>
                <w:sz w:val="22"/>
                <w:szCs w:val="22"/>
              </w:rPr>
              <w:t>2</w:t>
            </w:r>
          </w:p>
        </w:tc>
      </w:tr>
      <w:tr w:rsidR="009F22D3" w:rsidRPr="007F163A" w14:paraId="4D67319B" w14:textId="77777777" w:rsidTr="007B0EAA">
        <w:trPr>
          <w:trHeight w:val="386"/>
        </w:trPr>
        <w:tc>
          <w:tcPr>
            <w:tcW w:w="1217" w:type="dxa"/>
            <w:shd w:val="clear" w:color="auto" w:fill="auto"/>
          </w:tcPr>
          <w:p w14:paraId="0C03BD74" w14:textId="77777777" w:rsidR="009F22D3" w:rsidRPr="007F163A" w:rsidRDefault="009F22D3" w:rsidP="007B0EAA">
            <w:pPr>
              <w:pStyle w:val="ListParagraph"/>
              <w:ind w:left="0"/>
              <w:jc w:val="both"/>
              <w:rPr>
                <w:bCs/>
                <w:color w:val="000000"/>
                <w:sz w:val="22"/>
                <w:szCs w:val="22"/>
              </w:rPr>
            </w:pPr>
            <w:r w:rsidRPr="007F163A">
              <w:rPr>
                <w:sz w:val="22"/>
                <w:szCs w:val="22"/>
              </w:rPr>
              <w:t>PVG 826</w:t>
            </w:r>
          </w:p>
        </w:tc>
        <w:tc>
          <w:tcPr>
            <w:tcW w:w="4871" w:type="dxa"/>
            <w:shd w:val="clear" w:color="auto" w:fill="auto"/>
          </w:tcPr>
          <w:p w14:paraId="0687B1A8" w14:textId="77777777" w:rsidR="009F22D3" w:rsidRPr="007F163A" w:rsidRDefault="009F22D3" w:rsidP="007B0EAA">
            <w:pPr>
              <w:jc w:val="both"/>
              <w:rPr>
                <w:sz w:val="22"/>
                <w:szCs w:val="22"/>
                <w:lang w:val="en-GB"/>
              </w:rPr>
            </w:pPr>
            <w:r w:rsidRPr="007F163A">
              <w:rPr>
                <w:rFonts w:eastAsia="AdvPTimesB"/>
                <w:color w:val="000000"/>
                <w:sz w:val="22"/>
                <w:szCs w:val="22"/>
                <w:lang w:val="en-GB"/>
              </w:rPr>
              <w:t>Pharmacovigilance of Herbal Medicines</w:t>
            </w:r>
          </w:p>
        </w:tc>
        <w:tc>
          <w:tcPr>
            <w:tcW w:w="1483" w:type="dxa"/>
            <w:shd w:val="clear" w:color="auto" w:fill="auto"/>
          </w:tcPr>
          <w:p w14:paraId="1EB73B72" w14:textId="77777777" w:rsidR="009F22D3" w:rsidRPr="007F163A" w:rsidRDefault="009F22D3" w:rsidP="007B0EAA">
            <w:pPr>
              <w:pStyle w:val="ListParagraph"/>
              <w:ind w:left="0"/>
              <w:jc w:val="center"/>
              <w:rPr>
                <w:sz w:val="22"/>
                <w:szCs w:val="22"/>
              </w:rPr>
            </w:pPr>
            <w:r w:rsidRPr="007F163A">
              <w:rPr>
                <w:sz w:val="22"/>
                <w:szCs w:val="22"/>
              </w:rPr>
              <w:t>Elective</w:t>
            </w:r>
          </w:p>
        </w:tc>
        <w:tc>
          <w:tcPr>
            <w:tcW w:w="1059" w:type="dxa"/>
            <w:shd w:val="clear" w:color="auto" w:fill="auto"/>
          </w:tcPr>
          <w:p w14:paraId="76704DD7" w14:textId="77777777" w:rsidR="009F22D3" w:rsidRPr="007F163A" w:rsidRDefault="009F22D3" w:rsidP="007B0EAA">
            <w:pPr>
              <w:pStyle w:val="ListParagraph"/>
              <w:ind w:left="0"/>
              <w:jc w:val="center"/>
              <w:rPr>
                <w:sz w:val="22"/>
                <w:szCs w:val="22"/>
              </w:rPr>
            </w:pPr>
            <w:r w:rsidRPr="007F163A">
              <w:rPr>
                <w:color w:val="000000"/>
                <w:sz w:val="22"/>
                <w:szCs w:val="22"/>
                <w:lang w:val="en-GB"/>
              </w:rPr>
              <w:t>2</w:t>
            </w:r>
          </w:p>
        </w:tc>
      </w:tr>
      <w:tr w:rsidR="009F22D3" w:rsidRPr="007F163A" w14:paraId="09068224" w14:textId="77777777" w:rsidTr="007B0EAA">
        <w:trPr>
          <w:trHeight w:val="692"/>
        </w:trPr>
        <w:tc>
          <w:tcPr>
            <w:tcW w:w="1217" w:type="dxa"/>
            <w:shd w:val="clear" w:color="auto" w:fill="auto"/>
          </w:tcPr>
          <w:p w14:paraId="0AE6F4EF" w14:textId="77777777" w:rsidR="009F22D3" w:rsidRPr="007F163A" w:rsidRDefault="009F22D3" w:rsidP="007B0EAA">
            <w:pPr>
              <w:pStyle w:val="ListParagraph"/>
              <w:ind w:left="0"/>
              <w:jc w:val="both"/>
              <w:rPr>
                <w:bCs/>
                <w:sz w:val="22"/>
                <w:szCs w:val="22"/>
              </w:rPr>
            </w:pPr>
            <w:r w:rsidRPr="007F163A">
              <w:rPr>
                <w:sz w:val="22"/>
                <w:szCs w:val="22"/>
              </w:rPr>
              <w:t>RSC 821</w:t>
            </w:r>
          </w:p>
        </w:tc>
        <w:tc>
          <w:tcPr>
            <w:tcW w:w="4871" w:type="dxa"/>
            <w:shd w:val="clear" w:color="auto" w:fill="auto"/>
          </w:tcPr>
          <w:p w14:paraId="594F1E55" w14:textId="77777777" w:rsidR="009F22D3" w:rsidRPr="007F163A" w:rsidRDefault="009F22D3" w:rsidP="007B0EAA">
            <w:pPr>
              <w:jc w:val="both"/>
              <w:rPr>
                <w:bCs/>
                <w:sz w:val="22"/>
                <w:szCs w:val="22"/>
              </w:rPr>
            </w:pPr>
            <w:r w:rsidRPr="007F163A">
              <w:rPr>
                <w:color w:val="000000"/>
                <w:sz w:val="22"/>
                <w:szCs w:val="22"/>
              </w:rPr>
              <w:t>Regulation of Pharmaceutical, Biologic Products and Medical devices</w:t>
            </w:r>
          </w:p>
        </w:tc>
        <w:tc>
          <w:tcPr>
            <w:tcW w:w="1483" w:type="dxa"/>
            <w:shd w:val="clear" w:color="auto" w:fill="auto"/>
          </w:tcPr>
          <w:p w14:paraId="4B4B94D8" w14:textId="77777777" w:rsidR="009F22D3" w:rsidRPr="007F163A" w:rsidRDefault="009F22D3" w:rsidP="007B0EAA">
            <w:pPr>
              <w:pStyle w:val="ListParagraph"/>
              <w:ind w:left="0"/>
              <w:jc w:val="center"/>
              <w:rPr>
                <w:sz w:val="22"/>
                <w:szCs w:val="22"/>
              </w:rPr>
            </w:pPr>
            <w:r w:rsidRPr="007F163A">
              <w:rPr>
                <w:sz w:val="22"/>
                <w:szCs w:val="22"/>
              </w:rPr>
              <w:t>Elective</w:t>
            </w:r>
          </w:p>
        </w:tc>
        <w:tc>
          <w:tcPr>
            <w:tcW w:w="1059" w:type="dxa"/>
            <w:shd w:val="clear" w:color="auto" w:fill="auto"/>
          </w:tcPr>
          <w:p w14:paraId="2D9A06E0" w14:textId="77777777" w:rsidR="009F22D3" w:rsidRPr="007F163A" w:rsidRDefault="009F22D3" w:rsidP="007B0EAA">
            <w:pPr>
              <w:pStyle w:val="ListParagraph"/>
              <w:ind w:left="0"/>
              <w:jc w:val="center"/>
              <w:rPr>
                <w:sz w:val="22"/>
                <w:szCs w:val="22"/>
              </w:rPr>
            </w:pPr>
            <w:r w:rsidRPr="007F163A">
              <w:rPr>
                <w:sz w:val="22"/>
                <w:szCs w:val="22"/>
              </w:rPr>
              <w:t>2</w:t>
            </w:r>
          </w:p>
        </w:tc>
      </w:tr>
      <w:tr w:rsidR="009F22D3" w:rsidRPr="007F163A" w14:paraId="5B9F29D1" w14:textId="77777777" w:rsidTr="007B0EAA">
        <w:tc>
          <w:tcPr>
            <w:tcW w:w="1217" w:type="dxa"/>
            <w:shd w:val="clear" w:color="auto" w:fill="auto"/>
          </w:tcPr>
          <w:p w14:paraId="59BB4C7C" w14:textId="77777777" w:rsidR="009F22D3" w:rsidRPr="007F163A" w:rsidRDefault="009F22D3" w:rsidP="007B0EAA">
            <w:pPr>
              <w:pStyle w:val="ListParagraph"/>
              <w:ind w:left="0"/>
              <w:jc w:val="both"/>
              <w:rPr>
                <w:bCs/>
                <w:sz w:val="22"/>
                <w:szCs w:val="22"/>
              </w:rPr>
            </w:pPr>
          </w:p>
        </w:tc>
        <w:tc>
          <w:tcPr>
            <w:tcW w:w="4871" w:type="dxa"/>
            <w:shd w:val="clear" w:color="auto" w:fill="auto"/>
          </w:tcPr>
          <w:p w14:paraId="01720DBD" w14:textId="77777777" w:rsidR="009F22D3" w:rsidRPr="007F163A" w:rsidRDefault="009F22D3" w:rsidP="007B0EAA">
            <w:pPr>
              <w:pStyle w:val="ListParagraph"/>
              <w:ind w:left="0"/>
              <w:jc w:val="both"/>
              <w:rPr>
                <w:b/>
                <w:sz w:val="22"/>
                <w:szCs w:val="22"/>
              </w:rPr>
            </w:pPr>
            <w:r w:rsidRPr="007F163A">
              <w:rPr>
                <w:b/>
                <w:sz w:val="22"/>
                <w:szCs w:val="22"/>
              </w:rPr>
              <w:t>Total Units</w:t>
            </w:r>
          </w:p>
        </w:tc>
        <w:tc>
          <w:tcPr>
            <w:tcW w:w="1483" w:type="dxa"/>
            <w:shd w:val="clear" w:color="auto" w:fill="auto"/>
          </w:tcPr>
          <w:p w14:paraId="0F85B33A" w14:textId="77777777" w:rsidR="009F22D3" w:rsidRPr="007F163A" w:rsidRDefault="009F22D3" w:rsidP="007B0EAA">
            <w:pPr>
              <w:pStyle w:val="ListParagraph"/>
              <w:ind w:left="0"/>
              <w:jc w:val="center"/>
              <w:rPr>
                <w:b/>
                <w:sz w:val="22"/>
                <w:szCs w:val="22"/>
              </w:rPr>
            </w:pPr>
            <w:r w:rsidRPr="007F163A">
              <w:rPr>
                <w:b/>
                <w:sz w:val="22"/>
                <w:szCs w:val="22"/>
              </w:rPr>
              <w:t>Compulsory</w:t>
            </w:r>
          </w:p>
          <w:p w14:paraId="173967F4" w14:textId="77777777" w:rsidR="009F22D3" w:rsidRPr="007F163A" w:rsidRDefault="009F22D3" w:rsidP="007B0EAA">
            <w:pPr>
              <w:pStyle w:val="ListParagraph"/>
              <w:ind w:left="0"/>
              <w:jc w:val="center"/>
              <w:rPr>
                <w:b/>
                <w:sz w:val="22"/>
                <w:szCs w:val="22"/>
              </w:rPr>
            </w:pPr>
            <w:r w:rsidRPr="007F163A">
              <w:rPr>
                <w:b/>
                <w:sz w:val="22"/>
                <w:szCs w:val="22"/>
              </w:rPr>
              <w:t>Elective</w:t>
            </w:r>
          </w:p>
        </w:tc>
        <w:tc>
          <w:tcPr>
            <w:tcW w:w="1059" w:type="dxa"/>
            <w:shd w:val="clear" w:color="auto" w:fill="auto"/>
          </w:tcPr>
          <w:p w14:paraId="1055BD3E" w14:textId="77777777" w:rsidR="009F22D3" w:rsidRPr="007F163A" w:rsidRDefault="009F22D3" w:rsidP="007B0EAA">
            <w:pPr>
              <w:pStyle w:val="ListParagraph"/>
              <w:ind w:left="0"/>
              <w:jc w:val="center"/>
              <w:rPr>
                <w:b/>
                <w:sz w:val="22"/>
                <w:szCs w:val="22"/>
              </w:rPr>
            </w:pPr>
            <w:r w:rsidRPr="007F163A">
              <w:rPr>
                <w:b/>
                <w:sz w:val="22"/>
                <w:szCs w:val="22"/>
              </w:rPr>
              <w:t>8</w:t>
            </w:r>
          </w:p>
          <w:p w14:paraId="4449BB31" w14:textId="77777777" w:rsidR="009F22D3" w:rsidRPr="007F163A" w:rsidRDefault="009F22D3" w:rsidP="007B0EAA">
            <w:pPr>
              <w:pStyle w:val="ListParagraph"/>
              <w:ind w:left="0"/>
              <w:jc w:val="center"/>
              <w:rPr>
                <w:b/>
                <w:sz w:val="22"/>
                <w:szCs w:val="22"/>
              </w:rPr>
            </w:pPr>
            <w:r w:rsidRPr="007F163A">
              <w:rPr>
                <w:b/>
                <w:sz w:val="22"/>
                <w:szCs w:val="22"/>
              </w:rPr>
              <w:t>10</w:t>
            </w:r>
          </w:p>
        </w:tc>
      </w:tr>
    </w:tbl>
    <w:p w14:paraId="04142560" w14:textId="77777777" w:rsidR="009F22D3" w:rsidRPr="007F163A" w:rsidRDefault="009F22D3" w:rsidP="009F22D3">
      <w:pPr>
        <w:pStyle w:val="ListParagraph"/>
        <w:ind w:left="0"/>
        <w:jc w:val="both"/>
        <w:rPr>
          <w:i/>
          <w:sz w:val="22"/>
          <w:szCs w:val="22"/>
        </w:rPr>
      </w:pPr>
    </w:p>
    <w:p w14:paraId="13EA7D50" w14:textId="77777777" w:rsidR="009F22D3" w:rsidRPr="007F163A" w:rsidRDefault="009F22D3" w:rsidP="009F22D3">
      <w:pPr>
        <w:pStyle w:val="ListParagraph"/>
        <w:ind w:left="0"/>
        <w:jc w:val="both"/>
        <w:rPr>
          <w:i/>
          <w:sz w:val="22"/>
          <w:szCs w:val="22"/>
        </w:rPr>
      </w:pPr>
    </w:p>
    <w:p w14:paraId="25D62AB3" w14:textId="77777777" w:rsidR="009F22D3" w:rsidRPr="007F163A" w:rsidRDefault="009F22D3" w:rsidP="009F22D3">
      <w:pPr>
        <w:pStyle w:val="Heading3"/>
        <w:numPr>
          <w:ilvl w:val="0"/>
          <w:numId w:val="0"/>
        </w:numPr>
        <w:ind w:left="720" w:hanging="720"/>
        <w:rPr>
          <w:sz w:val="22"/>
          <w:szCs w:val="24"/>
        </w:rPr>
      </w:pPr>
      <w:bookmarkStart w:id="11" w:name="_Toc97749147"/>
      <w:bookmarkStart w:id="12" w:name="_Toc102414962"/>
      <w:r w:rsidRPr="007F163A">
        <w:rPr>
          <w:sz w:val="22"/>
          <w:szCs w:val="24"/>
        </w:rPr>
        <w:t>Summary of number of units compulsory and elective courses to be taken/available at each Level</w:t>
      </w:r>
      <w:bookmarkEnd w:id="11"/>
      <w:bookmarkEnd w:id="12"/>
      <w:r w:rsidRPr="007F163A">
        <w:rPr>
          <w:sz w:val="22"/>
          <w:szCs w:val="24"/>
        </w:rPr>
        <w:t xml:space="preserve"> </w:t>
      </w:r>
      <w:bookmarkStart w:id="13" w:name="_Hlk86766552"/>
    </w:p>
    <w:p w14:paraId="2430D731" w14:textId="77777777" w:rsidR="009F22D3" w:rsidRPr="007F163A" w:rsidRDefault="009F22D3" w:rsidP="009F22D3">
      <w:pPr>
        <w:rPr>
          <w:sz w:val="18"/>
          <w:szCs w:val="18"/>
        </w:rPr>
      </w:pPr>
    </w:p>
    <w:tbl>
      <w:tblPr>
        <w:tblStyle w:val="TableGrid"/>
        <w:tblW w:w="0" w:type="auto"/>
        <w:jc w:val="center"/>
        <w:tblLook w:val="04A0" w:firstRow="1" w:lastRow="0" w:firstColumn="1" w:lastColumn="0" w:noHBand="0" w:noVBand="1"/>
      </w:tblPr>
      <w:tblGrid>
        <w:gridCol w:w="731"/>
        <w:gridCol w:w="1239"/>
        <w:gridCol w:w="1021"/>
        <w:gridCol w:w="1239"/>
        <w:gridCol w:w="1021"/>
        <w:gridCol w:w="1205"/>
        <w:gridCol w:w="994"/>
      </w:tblGrid>
      <w:tr w:rsidR="009F22D3" w:rsidRPr="007F163A" w14:paraId="2A75564F" w14:textId="77777777" w:rsidTr="007B0EAA">
        <w:trPr>
          <w:jc w:val="center"/>
        </w:trPr>
        <w:tc>
          <w:tcPr>
            <w:tcW w:w="731" w:type="dxa"/>
          </w:tcPr>
          <w:p w14:paraId="00BC3531" w14:textId="77777777" w:rsidR="009F22D3" w:rsidRPr="007F163A" w:rsidRDefault="009F22D3" w:rsidP="007B0EAA">
            <w:pPr>
              <w:pStyle w:val="ListParagraph"/>
              <w:ind w:left="0"/>
              <w:jc w:val="both"/>
              <w:rPr>
                <w:b/>
                <w:sz w:val="22"/>
                <w:szCs w:val="22"/>
              </w:rPr>
            </w:pPr>
          </w:p>
        </w:tc>
        <w:tc>
          <w:tcPr>
            <w:tcW w:w="2260" w:type="dxa"/>
            <w:gridSpan w:val="2"/>
          </w:tcPr>
          <w:p w14:paraId="4F5149BA" w14:textId="77777777" w:rsidR="009F22D3" w:rsidRPr="007F163A" w:rsidRDefault="009F22D3" w:rsidP="007B0EAA">
            <w:pPr>
              <w:pStyle w:val="ListParagraph"/>
              <w:ind w:left="0"/>
              <w:jc w:val="center"/>
              <w:rPr>
                <w:b/>
                <w:sz w:val="22"/>
                <w:szCs w:val="22"/>
              </w:rPr>
            </w:pPr>
            <w:r w:rsidRPr="007F163A">
              <w:rPr>
                <w:b/>
                <w:sz w:val="22"/>
                <w:szCs w:val="22"/>
              </w:rPr>
              <w:t>First semester</w:t>
            </w:r>
          </w:p>
        </w:tc>
        <w:tc>
          <w:tcPr>
            <w:tcW w:w="2260" w:type="dxa"/>
            <w:gridSpan w:val="2"/>
          </w:tcPr>
          <w:p w14:paraId="7C8655DC" w14:textId="77777777" w:rsidR="009F22D3" w:rsidRPr="007F163A" w:rsidRDefault="009F22D3" w:rsidP="007B0EAA">
            <w:pPr>
              <w:pStyle w:val="ListParagraph"/>
              <w:ind w:left="0"/>
              <w:jc w:val="center"/>
              <w:rPr>
                <w:b/>
                <w:sz w:val="22"/>
                <w:szCs w:val="22"/>
              </w:rPr>
            </w:pPr>
            <w:r w:rsidRPr="007F163A">
              <w:rPr>
                <w:b/>
                <w:sz w:val="22"/>
                <w:szCs w:val="22"/>
              </w:rPr>
              <w:t>Second semester</w:t>
            </w:r>
          </w:p>
        </w:tc>
        <w:tc>
          <w:tcPr>
            <w:tcW w:w="2199" w:type="dxa"/>
            <w:gridSpan w:val="2"/>
          </w:tcPr>
          <w:p w14:paraId="4898D6CD" w14:textId="77777777" w:rsidR="009F22D3" w:rsidRPr="007F163A" w:rsidRDefault="009F22D3" w:rsidP="007B0EAA">
            <w:pPr>
              <w:pStyle w:val="ListParagraph"/>
              <w:ind w:left="0"/>
              <w:jc w:val="center"/>
              <w:rPr>
                <w:b/>
                <w:sz w:val="22"/>
                <w:szCs w:val="22"/>
              </w:rPr>
            </w:pPr>
            <w:r w:rsidRPr="007F163A">
              <w:rPr>
                <w:b/>
                <w:sz w:val="22"/>
                <w:szCs w:val="22"/>
              </w:rPr>
              <w:t>Total</w:t>
            </w:r>
          </w:p>
        </w:tc>
      </w:tr>
      <w:tr w:rsidR="009F22D3" w:rsidRPr="007F163A" w14:paraId="1ED3D979" w14:textId="77777777" w:rsidTr="007B0EAA">
        <w:trPr>
          <w:jc w:val="center"/>
        </w:trPr>
        <w:tc>
          <w:tcPr>
            <w:tcW w:w="731" w:type="dxa"/>
          </w:tcPr>
          <w:p w14:paraId="727CD463" w14:textId="77777777" w:rsidR="009F22D3" w:rsidRPr="007F163A" w:rsidRDefault="009F22D3" w:rsidP="007B0EAA">
            <w:pPr>
              <w:pStyle w:val="ListParagraph"/>
              <w:ind w:left="0"/>
              <w:jc w:val="both"/>
              <w:rPr>
                <w:b/>
                <w:sz w:val="18"/>
                <w:szCs w:val="18"/>
              </w:rPr>
            </w:pPr>
            <w:r w:rsidRPr="007F163A">
              <w:rPr>
                <w:b/>
                <w:sz w:val="18"/>
                <w:szCs w:val="18"/>
              </w:rPr>
              <w:t>Level</w:t>
            </w:r>
          </w:p>
        </w:tc>
        <w:tc>
          <w:tcPr>
            <w:tcW w:w="1239" w:type="dxa"/>
          </w:tcPr>
          <w:p w14:paraId="39ECC2F1" w14:textId="77777777" w:rsidR="009F22D3" w:rsidRPr="007F163A" w:rsidRDefault="009F22D3" w:rsidP="007B0EAA">
            <w:pPr>
              <w:pStyle w:val="ListParagraph"/>
              <w:ind w:left="0"/>
              <w:jc w:val="both"/>
              <w:rPr>
                <w:b/>
                <w:sz w:val="18"/>
                <w:szCs w:val="18"/>
              </w:rPr>
            </w:pPr>
            <w:r w:rsidRPr="007F163A">
              <w:rPr>
                <w:sz w:val="18"/>
                <w:szCs w:val="18"/>
              </w:rPr>
              <w:t xml:space="preserve">Units of Compulsory Courses </w:t>
            </w:r>
          </w:p>
        </w:tc>
        <w:tc>
          <w:tcPr>
            <w:tcW w:w="1021" w:type="dxa"/>
          </w:tcPr>
          <w:p w14:paraId="4AFF5D75" w14:textId="77777777" w:rsidR="009F22D3" w:rsidRPr="007F163A" w:rsidRDefault="009F22D3" w:rsidP="007B0EAA">
            <w:pPr>
              <w:pStyle w:val="ListParagraph"/>
              <w:ind w:left="0"/>
              <w:jc w:val="both"/>
              <w:rPr>
                <w:b/>
                <w:sz w:val="18"/>
                <w:szCs w:val="18"/>
              </w:rPr>
            </w:pPr>
            <w:r w:rsidRPr="007F163A">
              <w:rPr>
                <w:sz w:val="18"/>
                <w:szCs w:val="18"/>
              </w:rPr>
              <w:t>Units of Elective Courses Available</w:t>
            </w:r>
          </w:p>
        </w:tc>
        <w:tc>
          <w:tcPr>
            <w:tcW w:w="1239" w:type="dxa"/>
          </w:tcPr>
          <w:p w14:paraId="41B13D67" w14:textId="77777777" w:rsidR="009F22D3" w:rsidRPr="007F163A" w:rsidRDefault="009F22D3" w:rsidP="007B0EAA">
            <w:pPr>
              <w:pStyle w:val="ListParagraph"/>
              <w:ind w:left="0"/>
              <w:jc w:val="both"/>
              <w:rPr>
                <w:b/>
                <w:sz w:val="18"/>
                <w:szCs w:val="18"/>
              </w:rPr>
            </w:pPr>
            <w:r w:rsidRPr="007F163A">
              <w:rPr>
                <w:sz w:val="18"/>
                <w:szCs w:val="18"/>
              </w:rPr>
              <w:t xml:space="preserve">Units of Compulsory Courses </w:t>
            </w:r>
          </w:p>
        </w:tc>
        <w:tc>
          <w:tcPr>
            <w:tcW w:w="1021" w:type="dxa"/>
          </w:tcPr>
          <w:p w14:paraId="478D6179" w14:textId="77777777" w:rsidR="009F22D3" w:rsidRPr="007F163A" w:rsidRDefault="009F22D3" w:rsidP="007B0EAA">
            <w:pPr>
              <w:pStyle w:val="ListParagraph"/>
              <w:ind w:left="0"/>
              <w:jc w:val="both"/>
              <w:rPr>
                <w:b/>
                <w:sz w:val="18"/>
                <w:szCs w:val="18"/>
              </w:rPr>
            </w:pPr>
            <w:r w:rsidRPr="007F163A">
              <w:rPr>
                <w:sz w:val="18"/>
                <w:szCs w:val="18"/>
              </w:rPr>
              <w:t>Units of Elective Courses Available</w:t>
            </w:r>
          </w:p>
        </w:tc>
        <w:tc>
          <w:tcPr>
            <w:tcW w:w="1205" w:type="dxa"/>
          </w:tcPr>
          <w:p w14:paraId="15E13C9F" w14:textId="77777777" w:rsidR="009F22D3" w:rsidRPr="007F163A" w:rsidRDefault="009F22D3" w:rsidP="007B0EAA">
            <w:pPr>
              <w:pStyle w:val="ListParagraph"/>
              <w:ind w:left="0"/>
              <w:jc w:val="both"/>
              <w:rPr>
                <w:b/>
                <w:sz w:val="18"/>
                <w:szCs w:val="18"/>
              </w:rPr>
            </w:pPr>
            <w:r w:rsidRPr="007F163A">
              <w:rPr>
                <w:sz w:val="18"/>
                <w:szCs w:val="18"/>
              </w:rPr>
              <w:t xml:space="preserve">Total of Compulsory Courses </w:t>
            </w:r>
          </w:p>
        </w:tc>
        <w:tc>
          <w:tcPr>
            <w:tcW w:w="994" w:type="dxa"/>
          </w:tcPr>
          <w:p w14:paraId="7CDF552F" w14:textId="77777777" w:rsidR="009F22D3" w:rsidRPr="007F163A" w:rsidRDefault="009F22D3" w:rsidP="007B0EAA">
            <w:pPr>
              <w:pStyle w:val="ListParagraph"/>
              <w:ind w:left="0"/>
              <w:jc w:val="both"/>
              <w:rPr>
                <w:b/>
                <w:sz w:val="18"/>
                <w:szCs w:val="18"/>
              </w:rPr>
            </w:pPr>
            <w:r w:rsidRPr="007F163A">
              <w:rPr>
                <w:sz w:val="18"/>
                <w:szCs w:val="18"/>
              </w:rPr>
              <w:t>Total of Elective Courses Available</w:t>
            </w:r>
          </w:p>
        </w:tc>
      </w:tr>
      <w:tr w:rsidR="009F22D3" w:rsidRPr="007F163A" w14:paraId="7B47F5D1" w14:textId="77777777" w:rsidTr="007B0EAA">
        <w:trPr>
          <w:jc w:val="center"/>
        </w:trPr>
        <w:tc>
          <w:tcPr>
            <w:tcW w:w="731" w:type="dxa"/>
          </w:tcPr>
          <w:p w14:paraId="404AB1ED" w14:textId="77777777" w:rsidR="009F22D3" w:rsidRPr="007F163A" w:rsidRDefault="009F22D3" w:rsidP="007B0EAA">
            <w:pPr>
              <w:pStyle w:val="ListParagraph"/>
              <w:ind w:left="0"/>
              <w:jc w:val="center"/>
              <w:rPr>
                <w:b/>
                <w:sz w:val="22"/>
                <w:szCs w:val="22"/>
              </w:rPr>
            </w:pPr>
            <w:r w:rsidRPr="007F163A">
              <w:rPr>
                <w:b/>
                <w:sz w:val="22"/>
                <w:szCs w:val="22"/>
              </w:rPr>
              <w:t>800</w:t>
            </w:r>
          </w:p>
        </w:tc>
        <w:tc>
          <w:tcPr>
            <w:tcW w:w="1239" w:type="dxa"/>
          </w:tcPr>
          <w:p w14:paraId="0C98A911" w14:textId="77777777" w:rsidR="009F22D3" w:rsidRPr="007F163A" w:rsidRDefault="009F22D3" w:rsidP="007B0EAA">
            <w:pPr>
              <w:pStyle w:val="ListParagraph"/>
              <w:ind w:left="0"/>
              <w:jc w:val="center"/>
              <w:rPr>
                <w:b/>
                <w:sz w:val="22"/>
                <w:szCs w:val="22"/>
              </w:rPr>
            </w:pPr>
            <w:r w:rsidRPr="007F163A">
              <w:rPr>
                <w:b/>
                <w:sz w:val="22"/>
                <w:szCs w:val="22"/>
              </w:rPr>
              <w:t>12</w:t>
            </w:r>
          </w:p>
        </w:tc>
        <w:tc>
          <w:tcPr>
            <w:tcW w:w="1021" w:type="dxa"/>
          </w:tcPr>
          <w:p w14:paraId="579AAE17" w14:textId="77777777" w:rsidR="009F22D3" w:rsidRPr="007F163A" w:rsidRDefault="009F22D3" w:rsidP="007B0EAA">
            <w:pPr>
              <w:pStyle w:val="ListParagraph"/>
              <w:ind w:left="0"/>
              <w:jc w:val="center"/>
              <w:rPr>
                <w:b/>
                <w:sz w:val="22"/>
                <w:szCs w:val="22"/>
              </w:rPr>
            </w:pPr>
            <w:r w:rsidRPr="007F163A">
              <w:rPr>
                <w:b/>
                <w:sz w:val="22"/>
                <w:szCs w:val="22"/>
              </w:rPr>
              <w:t>4</w:t>
            </w:r>
          </w:p>
        </w:tc>
        <w:tc>
          <w:tcPr>
            <w:tcW w:w="1239" w:type="dxa"/>
          </w:tcPr>
          <w:p w14:paraId="64159C0B" w14:textId="77777777" w:rsidR="009F22D3" w:rsidRPr="007F163A" w:rsidRDefault="009F22D3" w:rsidP="007B0EAA">
            <w:pPr>
              <w:pStyle w:val="ListParagraph"/>
              <w:ind w:left="0"/>
              <w:jc w:val="center"/>
              <w:rPr>
                <w:b/>
                <w:sz w:val="22"/>
                <w:szCs w:val="22"/>
              </w:rPr>
            </w:pPr>
            <w:r w:rsidRPr="007F163A">
              <w:rPr>
                <w:b/>
                <w:sz w:val="22"/>
                <w:szCs w:val="22"/>
              </w:rPr>
              <w:t>8</w:t>
            </w:r>
          </w:p>
        </w:tc>
        <w:tc>
          <w:tcPr>
            <w:tcW w:w="1021" w:type="dxa"/>
          </w:tcPr>
          <w:p w14:paraId="2C103D38" w14:textId="77777777" w:rsidR="009F22D3" w:rsidRPr="007F163A" w:rsidRDefault="009F22D3" w:rsidP="007B0EAA">
            <w:pPr>
              <w:pStyle w:val="ListParagraph"/>
              <w:ind w:left="0"/>
              <w:jc w:val="center"/>
              <w:rPr>
                <w:b/>
                <w:sz w:val="22"/>
                <w:szCs w:val="22"/>
              </w:rPr>
            </w:pPr>
            <w:r w:rsidRPr="007F163A">
              <w:rPr>
                <w:b/>
                <w:sz w:val="22"/>
                <w:szCs w:val="22"/>
              </w:rPr>
              <w:t>10</w:t>
            </w:r>
          </w:p>
        </w:tc>
        <w:tc>
          <w:tcPr>
            <w:tcW w:w="1205" w:type="dxa"/>
          </w:tcPr>
          <w:p w14:paraId="0609646A" w14:textId="77777777" w:rsidR="009F22D3" w:rsidRPr="007F163A" w:rsidRDefault="009F22D3" w:rsidP="007B0EAA">
            <w:pPr>
              <w:pStyle w:val="ListParagraph"/>
              <w:ind w:left="0"/>
              <w:jc w:val="center"/>
              <w:rPr>
                <w:b/>
                <w:sz w:val="22"/>
                <w:szCs w:val="22"/>
              </w:rPr>
            </w:pPr>
            <w:r w:rsidRPr="007F163A">
              <w:rPr>
                <w:b/>
                <w:sz w:val="22"/>
                <w:szCs w:val="22"/>
              </w:rPr>
              <w:t>20</w:t>
            </w:r>
          </w:p>
        </w:tc>
        <w:tc>
          <w:tcPr>
            <w:tcW w:w="994" w:type="dxa"/>
          </w:tcPr>
          <w:p w14:paraId="315DEC88" w14:textId="77777777" w:rsidR="009F22D3" w:rsidRPr="007F163A" w:rsidRDefault="009F22D3" w:rsidP="007B0EAA">
            <w:pPr>
              <w:pStyle w:val="ListParagraph"/>
              <w:ind w:left="0"/>
              <w:jc w:val="center"/>
              <w:rPr>
                <w:b/>
                <w:sz w:val="22"/>
                <w:szCs w:val="22"/>
              </w:rPr>
            </w:pPr>
            <w:r w:rsidRPr="007F163A">
              <w:rPr>
                <w:b/>
                <w:sz w:val="22"/>
                <w:szCs w:val="22"/>
              </w:rPr>
              <w:t>14</w:t>
            </w:r>
          </w:p>
        </w:tc>
      </w:tr>
      <w:bookmarkEnd w:id="8"/>
      <w:bookmarkEnd w:id="13"/>
    </w:tbl>
    <w:p w14:paraId="6E23CCAD" w14:textId="5E270944" w:rsidR="009F22D3" w:rsidRDefault="009F22D3"/>
    <w:p w14:paraId="1A9B613A" w14:textId="5EBBB136" w:rsidR="009F22D3" w:rsidRDefault="009F22D3"/>
    <w:p w14:paraId="618A4F63" w14:textId="121482F4" w:rsidR="00A451A1" w:rsidRDefault="00A451A1"/>
    <w:p w14:paraId="1E79A9B6" w14:textId="77777777" w:rsidR="00A451A1" w:rsidRPr="007F163A" w:rsidRDefault="00A451A1" w:rsidP="00A451A1">
      <w:pPr>
        <w:pStyle w:val="Heading3"/>
        <w:numPr>
          <w:ilvl w:val="0"/>
          <w:numId w:val="0"/>
        </w:numPr>
        <w:ind w:firstLine="720"/>
        <w:rPr>
          <w:sz w:val="22"/>
          <w:szCs w:val="24"/>
        </w:rPr>
      </w:pPr>
      <w:bookmarkStart w:id="14" w:name="_Toc102414963"/>
      <w:r w:rsidRPr="007F163A">
        <w:rPr>
          <w:b/>
          <w:bCs w:val="0"/>
          <w:sz w:val="22"/>
          <w:szCs w:val="24"/>
        </w:rPr>
        <w:t>Course Contents/Description</w:t>
      </w:r>
      <w:bookmarkEnd w:id="14"/>
    </w:p>
    <w:p w14:paraId="3C70809C" w14:textId="77777777" w:rsidR="00A451A1" w:rsidRPr="007F163A" w:rsidRDefault="00A451A1" w:rsidP="00A451A1">
      <w:pPr>
        <w:pStyle w:val="ListParagraph"/>
        <w:ind w:left="0"/>
        <w:jc w:val="both"/>
        <w:rPr>
          <w:i/>
          <w:color w:val="0D0D0D"/>
          <w:sz w:val="22"/>
          <w:szCs w:val="22"/>
        </w:rPr>
      </w:pPr>
    </w:p>
    <w:p w14:paraId="4302C42D" w14:textId="77777777" w:rsidR="00A451A1" w:rsidRPr="007F163A" w:rsidRDefault="00A451A1" w:rsidP="00A451A1">
      <w:pPr>
        <w:shd w:val="clear" w:color="auto" w:fill="FFFFFF"/>
        <w:spacing w:line="214" w:lineRule="atLeast"/>
        <w:jc w:val="both"/>
        <w:rPr>
          <w:color w:val="1D2228"/>
          <w:sz w:val="18"/>
          <w:szCs w:val="18"/>
        </w:rPr>
      </w:pPr>
      <w:r w:rsidRPr="007F163A">
        <w:rPr>
          <w:b/>
          <w:bCs/>
          <w:color w:val="000000"/>
          <w:sz w:val="18"/>
          <w:szCs w:val="18"/>
          <w:lang w:val="en-GB"/>
        </w:rPr>
        <w:t>PVG 811: Overview of Pharmacovigilance (PV)</w:t>
      </w:r>
      <w:r w:rsidRPr="007F163A">
        <w:rPr>
          <w:b/>
          <w:bCs/>
          <w:color w:val="000000"/>
          <w:sz w:val="18"/>
          <w:szCs w:val="18"/>
          <w:lang w:val="en-GB"/>
        </w:rPr>
        <w:tab/>
        <w:t xml:space="preserve">                                               </w:t>
      </w:r>
    </w:p>
    <w:p w14:paraId="5C2CD494" w14:textId="77777777" w:rsidR="00A451A1" w:rsidRPr="007F163A" w:rsidRDefault="00A451A1" w:rsidP="00A451A1">
      <w:pPr>
        <w:shd w:val="clear" w:color="auto" w:fill="FFFFFF"/>
        <w:jc w:val="both"/>
        <w:rPr>
          <w:color w:val="000000"/>
          <w:sz w:val="18"/>
          <w:szCs w:val="18"/>
        </w:rPr>
      </w:pPr>
      <w:r w:rsidRPr="007F163A">
        <w:rPr>
          <w:color w:val="000000"/>
          <w:sz w:val="18"/>
          <w:szCs w:val="18"/>
          <w:lang w:val="en-GB"/>
        </w:rPr>
        <w:t>Definitions of </w:t>
      </w:r>
      <w:r w:rsidRPr="007F163A">
        <w:rPr>
          <w:color w:val="000000"/>
          <w:sz w:val="18"/>
          <w:szCs w:val="18"/>
        </w:rPr>
        <w:t>adverse event (AE) and adverse drug reaction (ADR). The scope of PV. Persons and parties involved in PV: their concerns, competences and interactions. The increasing complexity and challenges of PV History of PV. Important ADRs and methodological and organisational developments. The origin of modern PV: thalidomide and the emergence of ADR reporting and drug legislation</w:t>
      </w:r>
      <w:r w:rsidRPr="007F163A">
        <w:rPr>
          <w:color w:val="000000"/>
          <w:sz w:val="18"/>
          <w:szCs w:val="18"/>
          <w:lang w:val="en-GB"/>
        </w:rPr>
        <w:t>.</w:t>
      </w:r>
      <w:r w:rsidRPr="007F163A">
        <w:rPr>
          <w:color w:val="000000"/>
          <w:sz w:val="18"/>
          <w:szCs w:val="18"/>
        </w:rPr>
        <w:t> Major disasters and their impact on PV: OCs–VTE, HRT–breast cancer, Cerivastatin–rhabdomyolysis, Coxibs–cardiovascular death, etc. The shaping of institutions, international cooperation and information exchange. Focus on methods: spontaneous reporting. Pharmacoepidemiology. Data bases and linkage. Data mining. Genetic testing.</w:t>
      </w:r>
    </w:p>
    <w:p w14:paraId="3EE410A0" w14:textId="77777777" w:rsidR="00A451A1" w:rsidRPr="007F163A" w:rsidRDefault="00A451A1" w:rsidP="00A451A1">
      <w:pPr>
        <w:shd w:val="clear" w:color="auto" w:fill="FFFFFF"/>
        <w:jc w:val="both"/>
        <w:rPr>
          <w:color w:val="000000"/>
          <w:sz w:val="18"/>
          <w:szCs w:val="18"/>
        </w:rPr>
      </w:pPr>
    </w:p>
    <w:p w14:paraId="4E5EA251" w14:textId="77777777" w:rsidR="00A451A1" w:rsidRPr="007F163A" w:rsidRDefault="00A451A1" w:rsidP="00A451A1">
      <w:pPr>
        <w:shd w:val="clear" w:color="auto" w:fill="FFFFFF"/>
        <w:rPr>
          <w:b/>
          <w:bCs/>
          <w:color w:val="000000"/>
          <w:sz w:val="18"/>
          <w:szCs w:val="18"/>
          <w:lang w:val="en-GB"/>
        </w:rPr>
      </w:pPr>
      <w:r w:rsidRPr="007F163A">
        <w:rPr>
          <w:b/>
          <w:color w:val="000000"/>
          <w:sz w:val="18"/>
          <w:szCs w:val="18"/>
        </w:rPr>
        <w:t>PVG 812</w:t>
      </w:r>
      <w:r w:rsidRPr="007F163A">
        <w:rPr>
          <w:color w:val="000000"/>
          <w:sz w:val="18"/>
          <w:szCs w:val="18"/>
        </w:rPr>
        <w:t xml:space="preserve">: </w:t>
      </w:r>
      <w:r w:rsidRPr="007F163A">
        <w:rPr>
          <w:b/>
          <w:bCs/>
          <w:color w:val="000000"/>
          <w:sz w:val="18"/>
          <w:szCs w:val="18"/>
        </w:rPr>
        <w:t>Spontaneous Reporting Systems (SRS)</w:t>
      </w:r>
      <w:r w:rsidRPr="007F163A">
        <w:rPr>
          <w:b/>
          <w:bCs/>
          <w:color w:val="000000"/>
          <w:sz w:val="18"/>
          <w:szCs w:val="18"/>
          <w:lang w:val="en-GB"/>
        </w:rPr>
        <w:t xml:space="preserve"> and </w:t>
      </w:r>
      <w:r w:rsidRPr="007F163A">
        <w:rPr>
          <w:b/>
          <w:bCs/>
          <w:color w:val="000000"/>
          <w:sz w:val="18"/>
          <w:szCs w:val="18"/>
        </w:rPr>
        <w:t>Case Assessment</w:t>
      </w:r>
      <w:r w:rsidRPr="007F163A">
        <w:rPr>
          <w:b/>
          <w:bCs/>
          <w:color w:val="000000"/>
          <w:sz w:val="18"/>
          <w:szCs w:val="18"/>
          <w:lang w:val="en-GB"/>
        </w:rPr>
        <w:t xml:space="preserve">                      </w:t>
      </w:r>
    </w:p>
    <w:p w14:paraId="1F85CF40" w14:textId="77777777" w:rsidR="00A451A1" w:rsidRPr="007F163A" w:rsidRDefault="00A451A1" w:rsidP="00A451A1">
      <w:pPr>
        <w:shd w:val="clear" w:color="auto" w:fill="FFFFFF"/>
        <w:spacing w:line="214" w:lineRule="atLeast"/>
        <w:jc w:val="both"/>
        <w:rPr>
          <w:color w:val="1D2228"/>
          <w:sz w:val="18"/>
          <w:szCs w:val="18"/>
        </w:rPr>
      </w:pPr>
      <w:r w:rsidRPr="007F163A">
        <w:rPr>
          <w:color w:val="000000"/>
          <w:sz w:val="18"/>
          <w:szCs w:val="18"/>
        </w:rPr>
        <w:t>Definition, settings. Potential and limitations of SRS Definition. Potential and achievements of SRs. SRS settings and resources. Sources of spontaneous reports (SRs): Healthcare professionals (HCPs). Patients. Companies. Media. Detecting, documenting and reporting of AEs/ADRs: Methods. Forms. Routes. Software</w:t>
      </w:r>
      <w:r w:rsidRPr="007F163A">
        <w:rPr>
          <w:color w:val="000000"/>
          <w:sz w:val="18"/>
          <w:szCs w:val="18"/>
          <w:lang w:val="en-GB"/>
        </w:rPr>
        <w:t>.</w:t>
      </w:r>
      <w:r w:rsidRPr="007F163A">
        <w:rPr>
          <w:color w:val="000000"/>
          <w:sz w:val="18"/>
          <w:szCs w:val="18"/>
        </w:rPr>
        <w:t> Places and institutions collecting spontaneous reports. Informational limitations of SRs: Incomplete. No denominator. Biases. Proposed caveats</w:t>
      </w:r>
      <w:r w:rsidRPr="007F163A">
        <w:rPr>
          <w:color w:val="000000"/>
          <w:sz w:val="18"/>
          <w:szCs w:val="18"/>
          <w:lang w:val="en-GB"/>
        </w:rPr>
        <w:t>.</w:t>
      </w:r>
      <w:r w:rsidRPr="007F163A">
        <w:rPr>
          <w:color w:val="000000"/>
          <w:sz w:val="18"/>
          <w:szCs w:val="18"/>
        </w:rPr>
        <w:t> Stimulated, mandatory, solicited and targeted reporting. Computerised ICSR databases: Requirements and structure. Administration</w:t>
      </w:r>
    </w:p>
    <w:p w14:paraId="6B6C8B36" w14:textId="77777777" w:rsidR="00A451A1" w:rsidRPr="007F163A" w:rsidRDefault="00A451A1" w:rsidP="00A451A1">
      <w:pPr>
        <w:shd w:val="clear" w:color="auto" w:fill="FFFFFF"/>
        <w:jc w:val="both"/>
        <w:rPr>
          <w:color w:val="000000"/>
          <w:sz w:val="18"/>
          <w:szCs w:val="18"/>
        </w:rPr>
      </w:pPr>
      <w:r w:rsidRPr="007F163A">
        <w:rPr>
          <w:color w:val="000000"/>
          <w:sz w:val="18"/>
          <w:szCs w:val="18"/>
        </w:rPr>
        <w:t>Completeness. Accuracy and precision of the report.</w:t>
      </w:r>
      <w:r w:rsidRPr="007F163A">
        <w:rPr>
          <w:color w:val="000000"/>
          <w:sz w:val="18"/>
          <w:szCs w:val="18"/>
          <w:lang w:val="en-GB"/>
        </w:rPr>
        <w:t> </w:t>
      </w:r>
      <w:r w:rsidRPr="007F163A">
        <w:rPr>
          <w:color w:val="000000"/>
          <w:sz w:val="18"/>
          <w:szCs w:val="18"/>
        </w:rPr>
        <w:t>Certainty of the diagnosis. Seriousness and severity of the AE/ADR. Causality of the AE: Purpose. Criteria and problems of the assessment. Causality of the AE: Common general and specific assessment methods. Outcome ratings, shortcomings. Reports related to vaccines. Herbals and specific situations.</w:t>
      </w:r>
      <w:r w:rsidRPr="007F163A">
        <w:rPr>
          <w:color w:val="000000"/>
          <w:sz w:val="18"/>
          <w:szCs w:val="18"/>
          <w:lang w:val="en-GB"/>
        </w:rPr>
        <w:t> </w:t>
      </w:r>
      <w:r w:rsidRPr="007F163A">
        <w:rPr>
          <w:color w:val="000000"/>
          <w:sz w:val="18"/>
          <w:szCs w:val="18"/>
        </w:rPr>
        <w:t xml:space="preserve">Reports about adverse events following immunisation (AEFI): Specific features. Causality assessment with AEFI. </w:t>
      </w:r>
      <w:r w:rsidRPr="007F163A">
        <w:rPr>
          <w:color w:val="000000"/>
          <w:sz w:val="18"/>
          <w:szCs w:val="18"/>
          <w:lang w:val="en-GB"/>
        </w:rPr>
        <w:t>R</w:t>
      </w:r>
      <w:r w:rsidRPr="007F163A">
        <w:rPr>
          <w:color w:val="000000"/>
          <w:sz w:val="18"/>
          <w:szCs w:val="18"/>
        </w:rPr>
        <w:t>eports about AEs/ADRs with herbal medicines. Reports about AEs/ADRs related to pregnancy and lactation</w:t>
      </w:r>
      <w:r w:rsidRPr="007F163A">
        <w:rPr>
          <w:color w:val="000000"/>
          <w:sz w:val="18"/>
          <w:szCs w:val="18"/>
          <w:lang w:val="en-GB"/>
        </w:rPr>
        <w:t>.</w:t>
      </w:r>
      <w:r w:rsidRPr="007F163A">
        <w:rPr>
          <w:color w:val="000000"/>
          <w:sz w:val="18"/>
          <w:szCs w:val="18"/>
        </w:rPr>
        <w:t> Reports about drug-drug interactions, drug abuse and poisoning.</w:t>
      </w:r>
    </w:p>
    <w:p w14:paraId="3E2582F7" w14:textId="77777777" w:rsidR="00A451A1" w:rsidRPr="007F163A" w:rsidRDefault="00A451A1" w:rsidP="00A451A1">
      <w:pPr>
        <w:shd w:val="clear" w:color="auto" w:fill="FFFFFF"/>
        <w:jc w:val="both"/>
        <w:rPr>
          <w:color w:val="000000"/>
          <w:sz w:val="18"/>
          <w:szCs w:val="18"/>
        </w:rPr>
      </w:pPr>
    </w:p>
    <w:p w14:paraId="401E0A62" w14:textId="77777777" w:rsidR="00A451A1" w:rsidRPr="007F163A" w:rsidRDefault="00A451A1" w:rsidP="00A451A1">
      <w:pPr>
        <w:shd w:val="clear" w:color="auto" w:fill="FFFFFF"/>
        <w:spacing w:line="233" w:lineRule="atLeast"/>
        <w:jc w:val="both"/>
        <w:rPr>
          <w:b/>
          <w:color w:val="222222"/>
          <w:sz w:val="22"/>
          <w:szCs w:val="22"/>
        </w:rPr>
      </w:pPr>
      <w:r w:rsidRPr="007F163A">
        <w:rPr>
          <w:b/>
          <w:bCs/>
          <w:color w:val="000000"/>
          <w:sz w:val="22"/>
          <w:szCs w:val="22"/>
          <w:lang w:val="en-GB"/>
        </w:rPr>
        <w:t xml:space="preserve">PVG 813 : Pharmacovigilance Communication                                                                 </w:t>
      </w:r>
    </w:p>
    <w:p w14:paraId="5B812479" w14:textId="77777777" w:rsidR="00A451A1" w:rsidRPr="007F163A" w:rsidRDefault="00A451A1" w:rsidP="00A451A1">
      <w:pPr>
        <w:shd w:val="clear" w:color="auto" w:fill="FFFFFF"/>
        <w:spacing w:line="214" w:lineRule="atLeast"/>
        <w:jc w:val="both"/>
        <w:rPr>
          <w:color w:val="000000"/>
          <w:sz w:val="18"/>
          <w:szCs w:val="18"/>
        </w:rPr>
      </w:pPr>
      <w:r w:rsidRPr="007F163A">
        <w:rPr>
          <w:color w:val="000000"/>
          <w:sz w:val="18"/>
          <w:szCs w:val="18"/>
        </w:rPr>
        <w:t>Context and guidance</w:t>
      </w:r>
      <w:r w:rsidRPr="007F163A">
        <w:rPr>
          <w:color w:val="000000"/>
          <w:sz w:val="18"/>
          <w:szCs w:val="18"/>
          <w:lang w:val="en-GB"/>
        </w:rPr>
        <w:t>. </w:t>
      </w:r>
      <w:r w:rsidRPr="007F163A">
        <w:rPr>
          <w:color w:val="000000"/>
          <w:sz w:val="18"/>
          <w:szCs w:val="18"/>
        </w:rPr>
        <w:t>Public health goals.</w:t>
      </w:r>
      <w:r w:rsidRPr="007F163A">
        <w:rPr>
          <w:color w:val="000000"/>
          <w:sz w:val="18"/>
          <w:szCs w:val="18"/>
          <w:lang w:val="en-GB"/>
        </w:rPr>
        <w:t> </w:t>
      </w:r>
      <w:r w:rsidRPr="007F163A">
        <w:rPr>
          <w:color w:val="000000"/>
          <w:sz w:val="18"/>
          <w:szCs w:val="18"/>
        </w:rPr>
        <w:t>Scene and climate</w:t>
      </w:r>
      <w:r w:rsidRPr="007F163A">
        <w:rPr>
          <w:color w:val="000000"/>
          <w:sz w:val="18"/>
          <w:szCs w:val="18"/>
          <w:lang w:val="en-GB"/>
        </w:rPr>
        <w:t>.</w:t>
      </w:r>
      <w:r w:rsidRPr="007F163A">
        <w:rPr>
          <w:color w:val="000000"/>
          <w:sz w:val="18"/>
          <w:szCs w:val="18"/>
        </w:rPr>
        <w:t> Theories and guidance. Legal framework</w:t>
      </w:r>
      <w:r w:rsidRPr="007F163A">
        <w:rPr>
          <w:color w:val="000000"/>
          <w:sz w:val="18"/>
          <w:szCs w:val="18"/>
          <w:lang w:val="en-GB"/>
        </w:rPr>
        <w:t>.</w:t>
      </w:r>
      <w:r w:rsidRPr="007F163A">
        <w:rPr>
          <w:color w:val="000000"/>
          <w:sz w:val="18"/>
          <w:szCs w:val="18"/>
        </w:rPr>
        <w:t> Experience on communication effectiveness. Crisis management</w:t>
      </w:r>
      <w:r w:rsidRPr="007F163A">
        <w:rPr>
          <w:color w:val="000000"/>
          <w:sz w:val="18"/>
          <w:szCs w:val="18"/>
          <w:lang w:val="en-GB"/>
        </w:rPr>
        <w:t>, </w:t>
      </w:r>
      <w:r w:rsidRPr="007F163A">
        <w:rPr>
          <w:color w:val="000000"/>
          <w:sz w:val="18"/>
          <w:szCs w:val="18"/>
        </w:rPr>
        <w:t>Communication with patients and healthcare professionals. Tools, channels and processes.</w:t>
      </w:r>
      <w:r w:rsidRPr="007F163A">
        <w:rPr>
          <w:color w:val="000000"/>
          <w:sz w:val="18"/>
          <w:szCs w:val="18"/>
          <w:lang w:val="en-GB"/>
        </w:rPr>
        <w:t> </w:t>
      </w:r>
      <w:r w:rsidRPr="007F163A">
        <w:rPr>
          <w:color w:val="000000"/>
          <w:sz w:val="18"/>
          <w:szCs w:val="18"/>
        </w:rPr>
        <w:t>Individual communication</w:t>
      </w:r>
      <w:r w:rsidRPr="007F163A">
        <w:rPr>
          <w:color w:val="000000"/>
          <w:sz w:val="18"/>
          <w:szCs w:val="18"/>
          <w:lang w:val="en-GB"/>
        </w:rPr>
        <w:t>.</w:t>
      </w:r>
      <w:r w:rsidRPr="007F163A">
        <w:rPr>
          <w:color w:val="000000"/>
          <w:sz w:val="18"/>
          <w:szCs w:val="18"/>
        </w:rPr>
        <w:t> Mass communication</w:t>
      </w:r>
      <w:r w:rsidRPr="007F163A">
        <w:rPr>
          <w:color w:val="000000"/>
          <w:sz w:val="18"/>
          <w:szCs w:val="18"/>
          <w:lang w:val="en-GB"/>
        </w:rPr>
        <w:t>.</w:t>
      </w:r>
      <w:r w:rsidRPr="007F163A">
        <w:rPr>
          <w:color w:val="000000"/>
          <w:sz w:val="18"/>
          <w:szCs w:val="18"/>
        </w:rPr>
        <w:t> Involvement of the public. Tools and channels Impact. Feedback and evaluation.  Communication with patients and healthcare professionals: Contents and presentation. Specific medications and hazards</w:t>
      </w:r>
      <w:r w:rsidRPr="007F163A">
        <w:rPr>
          <w:color w:val="000000"/>
          <w:sz w:val="18"/>
          <w:szCs w:val="18"/>
          <w:lang w:val="en-GB"/>
        </w:rPr>
        <w:t>. </w:t>
      </w:r>
      <w:r w:rsidRPr="007F163A">
        <w:rPr>
          <w:color w:val="000000"/>
          <w:sz w:val="18"/>
          <w:szCs w:val="18"/>
        </w:rPr>
        <w:t xml:space="preserve">Interaction among stakeholders. Media Communication for involvement of the public in PV processes. Interactions between stakeholders throughout the communication process. Interaction between stakeholders in relation to </w:t>
      </w:r>
      <w:r w:rsidRPr="007F163A">
        <w:rPr>
          <w:color w:val="000000"/>
          <w:sz w:val="18"/>
          <w:szCs w:val="18"/>
          <w:lang w:val="en-GB"/>
        </w:rPr>
        <w:t xml:space="preserve">risk management </w:t>
      </w:r>
      <w:r w:rsidRPr="007F163A">
        <w:rPr>
          <w:color w:val="000000"/>
          <w:sz w:val="18"/>
          <w:szCs w:val="18"/>
        </w:rPr>
        <w:t>p</w:t>
      </w:r>
      <w:proofErr w:type="spellStart"/>
      <w:r w:rsidRPr="007F163A">
        <w:rPr>
          <w:color w:val="000000"/>
          <w:sz w:val="18"/>
          <w:szCs w:val="18"/>
          <w:lang w:val="en-GB"/>
        </w:rPr>
        <w:t>lan</w:t>
      </w:r>
      <w:proofErr w:type="spellEnd"/>
      <w:r w:rsidRPr="007F163A">
        <w:rPr>
          <w:color w:val="000000"/>
          <w:sz w:val="18"/>
          <w:szCs w:val="18"/>
        </w:rPr>
        <w:t>s.</w:t>
      </w:r>
      <w:r w:rsidRPr="007F163A">
        <w:rPr>
          <w:color w:val="000000"/>
          <w:sz w:val="18"/>
          <w:szCs w:val="18"/>
          <w:lang w:val="en-GB"/>
        </w:rPr>
        <w:t> </w:t>
      </w:r>
      <w:r w:rsidRPr="007F163A">
        <w:rPr>
          <w:color w:val="000000"/>
          <w:sz w:val="18"/>
          <w:szCs w:val="18"/>
        </w:rPr>
        <w:t>Specifics for interaction with scientific and general media.</w:t>
      </w:r>
    </w:p>
    <w:p w14:paraId="04610BC1" w14:textId="77777777" w:rsidR="00A451A1" w:rsidRPr="007F163A" w:rsidRDefault="00A451A1" w:rsidP="00A451A1">
      <w:pPr>
        <w:pStyle w:val="yiv9251811057msonormal"/>
        <w:shd w:val="clear" w:color="auto" w:fill="FFFFFF"/>
        <w:spacing w:after="0" w:afterAutospacing="0"/>
        <w:jc w:val="both"/>
        <w:rPr>
          <w:color w:val="1D2228"/>
          <w:sz w:val="22"/>
          <w:szCs w:val="22"/>
        </w:rPr>
      </w:pPr>
      <w:r w:rsidRPr="007F163A">
        <w:rPr>
          <w:b/>
          <w:bCs/>
          <w:color w:val="000000"/>
          <w:sz w:val="22"/>
          <w:szCs w:val="22"/>
        </w:rPr>
        <w:lastRenderedPageBreak/>
        <w:t xml:space="preserve">PVG 821: </w:t>
      </w:r>
      <w:r w:rsidRPr="007F163A">
        <w:rPr>
          <w:b/>
          <w:bCs/>
          <w:color w:val="000000"/>
          <w:sz w:val="22"/>
          <w:szCs w:val="22"/>
          <w:lang w:val="en-GB"/>
        </w:rPr>
        <w:t xml:space="preserve">Pharmacovigilance Regulations                                                                     </w:t>
      </w:r>
    </w:p>
    <w:p w14:paraId="1A0C9DC4" w14:textId="77777777" w:rsidR="00A451A1" w:rsidRPr="007F163A" w:rsidRDefault="00A451A1" w:rsidP="00A451A1">
      <w:pPr>
        <w:shd w:val="clear" w:color="auto" w:fill="FFFFFF"/>
        <w:spacing w:after="160" w:line="214" w:lineRule="atLeast"/>
        <w:jc w:val="both"/>
        <w:rPr>
          <w:color w:val="000000"/>
          <w:sz w:val="18"/>
          <w:szCs w:val="18"/>
        </w:rPr>
      </w:pPr>
      <w:r w:rsidRPr="007F163A">
        <w:rPr>
          <w:color w:val="000000"/>
          <w:sz w:val="18"/>
          <w:szCs w:val="18"/>
        </w:rPr>
        <w:t>Facilities at pharmaceutical companies. Marketing authorisation holders. Wholesalers and distributors</w:t>
      </w:r>
      <w:r w:rsidRPr="007F163A">
        <w:rPr>
          <w:color w:val="000000"/>
          <w:sz w:val="18"/>
          <w:szCs w:val="18"/>
          <w:lang w:val="en-GB"/>
        </w:rPr>
        <w:t xml:space="preserve">. Good PV Regulations. </w:t>
      </w:r>
      <w:r w:rsidRPr="007F163A">
        <w:rPr>
          <w:color w:val="000000"/>
          <w:sz w:val="18"/>
          <w:szCs w:val="18"/>
        </w:rPr>
        <w:t>Pharmacovigilance system and SOPs. Crisis management plan</w:t>
      </w:r>
      <w:r w:rsidRPr="007F163A">
        <w:rPr>
          <w:color w:val="000000"/>
          <w:sz w:val="18"/>
          <w:szCs w:val="18"/>
          <w:lang w:val="en-GB"/>
        </w:rPr>
        <w:t>; </w:t>
      </w:r>
      <w:r w:rsidRPr="007F163A">
        <w:rPr>
          <w:color w:val="000000"/>
          <w:sz w:val="18"/>
          <w:szCs w:val="18"/>
        </w:rPr>
        <w:t>QPPV. Staff resources (scientific and administrative). Financial resources. Technical equipment Databases (ADR reports). Performance tools. Statistical tools and methods for analyses. Product-related archives. Correspondence archives. Library and access to electronic literature databases</w:t>
      </w:r>
      <w:r w:rsidRPr="007F163A">
        <w:rPr>
          <w:color w:val="000000"/>
          <w:sz w:val="18"/>
          <w:szCs w:val="18"/>
          <w:lang w:val="en-GB"/>
        </w:rPr>
        <w:t>. </w:t>
      </w:r>
      <w:r w:rsidRPr="007F163A">
        <w:rPr>
          <w:color w:val="000000"/>
          <w:sz w:val="18"/>
          <w:szCs w:val="18"/>
        </w:rPr>
        <w:t>Study reports. Periodic Safety Update Reports (PSURs). Periodic Benefit Risk Evaluation Reports (PBRERs). Other documents: DSUR; RMP, REMS; Renewal dossiers; Reports on request.</w:t>
      </w:r>
    </w:p>
    <w:p w14:paraId="710D39F2" w14:textId="77777777" w:rsidR="00A451A1" w:rsidRPr="007F163A" w:rsidRDefault="00A451A1" w:rsidP="00A451A1">
      <w:pPr>
        <w:shd w:val="clear" w:color="auto" w:fill="FFFFFF"/>
        <w:jc w:val="both"/>
        <w:rPr>
          <w:color w:val="1D2228"/>
          <w:sz w:val="18"/>
          <w:szCs w:val="18"/>
        </w:rPr>
      </w:pPr>
      <w:r w:rsidRPr="007F163A">
        <w:rPr>
          <w:b/>
          <w:bCs/>
          <w:color w:val="000000"/>
          <w:sz w:val="18"/>
          <w:szCs w:val="18"/>
        </w:rPr>
        <w:t xml:space="preserve">PVG 822: Pharmacovigilance and Risk Management Systems                                              </w:t>
      </w:r>
    </w:p>
    <w:p w14:paraId="2374FFA3" w14:textId="77777777" w:rsidR="00A451A1" w:rsidRPr="007F163A" w:rsidRDefault="00A451A1" w:rsidP="00A451A1">
      <w:pPr>
        <w:shd w:val="clear" w:color="auto" w:fill="FFFFFF"/>
        <w:jc w:val="both"/>
        <w:rPr>
          <w:color w:val="1D2228"/>
          <w:sz w:val="18"/>
          <w:szCs w:val="18"/>
        </w:rPr>
      </w:pPr>
      <w:r w:rsidRPr="007F163A">
        <w:rPr>
          <w:color w:val="000000"/>
          <w:sz w:val="18"/>
          <w:szCs w:val="18"/>
        </w:rPr>
        <w:t>Risk Management Plans (RMPs). Inspections. Pharmacovigilance systems: Definition. Stakeholders. Operation. Definition and elements Contents of the ‘Pharmacovigilance System’ document. Master file concept Pharmacovigilance systems of pharmaceutical companies. Marketing authorisation holders (MAHs) and distributors. Pharmacovigilance systems of regulatory authorities</w:t>
      </w:r>
    </w:p>
    <w:p w14:paraId="5A7FDA78" w14:textId="77777777" w:rsidR="00A451A1" w:rsidRPr="007F163A" w:rsidRDefault="00A451A1" w:rsidP="00A451A1">
      <w:pPr>
        <w:shd w:val="clear" w:color="auto" w:fill="FFFFFF"/>
        <w:jc w:val="both"/>
        <w:rPr>
          <w:color w:val="000000"/>
          <w:sz w:val="18"/>
          <w:szCs w:val="18"/>
        </w:rPr>
      </w:pPr>
      <w:r w:rsidRPr="007F163A">
        <w:rPr>
          <w:color w:val="000000"/>
          <w:sz w:val="18"/>
          <w:szCs w:val="18"/>
        </w:rPr>
        <w:t>Standard operating procedures (SOPs). Maintenance of the pharmacovigilance systems. Product-related risk management systems. Rationale for establishing risk management systems and objectives.  Establishing a risk management system: Starting point and responsibilities.</w:t>
      </w:r>
    </w:p>
    <w:p w14:paraId="75ED07A8" w14:textId="77777777" w:rsidR="00A451A1" w:rsidRPr="007F163A" w:rsidRDefault="00A451A1" w:rsidP="00A451A1">
      <w:pPr>
        <w:pStyle w:val="yiv9251811057gmail-msonormal"/>
        <w:shd w:val="clear" w:color="auto" w:fill="FFFFFF"/>
        <w:spacing w:before="0" w:beforeAutospacing="0" w:after="0" w:afterAutospacing="0" w:line="253" w:lineRule="atLeast"/>
        <w:jc w:val="both"/>
        <w:rPr>
          <w:b/>
          <w:bCs/>
          <w:color w:val="000000"/>
          <w:sz w:val="22"/>
          <w:szCs w:val="22"/>
        </w:rPr>
      </w:pPr>
    </w:p>
    <w:p w14:paraId="214B9E9C" w14:textId="77777777" w:rsidR="00A451A1" w:rsidRPr="007F163A" w:rsidRDefault="00A451A1" w:rsidP="00A451A1">
      <w:pPr>
        <w:pStyle w:val="yiv9251811057gmail-msonormal"/>
        <w:shd w:val="clear" w:color="auto" w:fill="FFFFFF"/>
        <w:spacing w:before="0" w:beforeAutospacing="0" w:after="0" w:afterAutospacing="0" w:line="253" w:lineRule="atLeast"/>
        <w:jc w:val="both"/>
        <w:rPr>
          <w:b/>
          <w:bCs/>
          <w:color w:val="000000"/>
          <w:sz w:val="22"/>
          <w:szCs w:val="22"/>
        </w:rPr>
      </w:pPr>
      <w:r w:rsidRPr="007F163A">
        <w:rPr>
          <w:b/>
          <w:bCs/>
          <w:color w:val="000000"/>
          <w:sz w:val="22"/>
          <w:szCs w:val="22"/>
        </w:rPr>
        <w:t>PVG 823: Signal Detection and Management</w:t>
      </w:r>
      <w:r w:rsidRPr="007F163A">
        <w:rPr>
          <w:b/>
          <w:bCs/>
          <w:color w:val="000000"/>
          <w:sz w:val="22"/>
          <w:szCs w:val="22"/>
        </w:rPr>
        <w:tab/>
      </w:r>
      <w:r w:rsidRPr="007F163A">
        <w:rPr>
          <w:b/>
          <w:bCs/>
          <w:color w:val="000000"/>
          <w:sz w:val="22"/>
          <w:szCs w:val="22"/>
        </w:rPr>
        <w:tab/>
      </w:r>
      <w:r w:rsidRPr="007F163A">
        <w:rPr>
          <w:b/>
          <w:bCs/>
          <w:color w:val="000000"/>
          <w:sz w:val="22"/>
          <w:szCs w:val="22"/>
        </w:rPr>
        <w:tab/>
        <w:t xml:space="preserve">                       </w:t>
      </w:r>
    </w:p>
    <w:p w14:paraId="6D1093C5" w14:textId="77777777" w:rsidR="00A451A1" w:rsidRPr="00537FE2" w:rsidRDefault="00A451A1" w:rsidP="00A451A1">
      <w:pPr>
        <w:pStyle w:val="yiv9251811057gmail-msonormal"/>
        <w:shd w:val="clear" w:color="auto" w:fill="FFFFFF"/>
        <w:spacing w:before="0" w:beforeAutospacing="0" w:after="0" w:afterAutospacing="0" w:line="253" w:lineRule="atLeast"/>
        <w:jc w:val="both"/>
        <w:rPr>
          <w:color w:val="000000"/>
          <w:sz w:val="22"/>
          <w:szCs w:val="22"/>
        </w:rPr>
      </w:pPr>
      <w:r w:rsidRPr="007F163A">
        <w:rPr>
          <w:color w:val="000000"/>
          <w:sz w:val="22"/>
          <w:szCs w:val="22"/>
        </w:rPr>
        <w:t xml:space="preserve">Definition of a signal; Sources. Potentials. Detection by non-statistical medical means. What is a ‘signal’?–definitions by WHO, CIOMS, others. What a signal may indicate: New ADR. Higher severity or frequency. Risk factors. Wrong medication. Product faults. Sources of information which may constitute a signal: ADR </w:t>
      </w:r>
      <w:r w:rsidRPr="00537FE2">
        <w:rPr>
          <w:color w:val="000000"/>
          <w:sz w:val="22"/>
          <w:szCs w:val="22"/>
        </w:rPr>
        <w:t>databases. Case-control surveillance. Other sources</w:t>
      </w:r>
      <w:r w:rsidRPr="00537FE2">
        <w:rPr>
          <w:color w:val="000000"/>
          <w:sz w:val="22"/>
          <w:szCs w:val="22"/>
          <w:lang w:val="en-GB"/>
        </w:rPr>
        <w:t>.</w:t>
      </w:r>
      <w:r w:rsidRPr="00537FE2">
        <w:rPr>
          <w:color w:val="000000"/>
          <w:sz w:val="22"/>
          <w:szCs w:val="22"/>
        </w:rPr>
        <w:t> Basic requirements for signal detection and management. Stakeholders in the signal detection and management process.  Detection of signals for new ADRs from ADR case-series by non-statistical medical means:</w:t>
      </w:r>
      <w:r w:rsidRPr="00537FE2">
        <w:rPr>
          <w:color w:val="000000"/>
          <w:sz w:val="22"/>
          <w:szCs w:val="22"/>
          <w:lang w:val="en-GB"/>
        </w:rPr>
        <w:t> D</w:t>
      </w:r>
      <w:proofErr w:type="spellStart"/>
      <w:r w:rsidRPr="00537FE2">
        <w:rPr>
          <w:color w:val="000000"/>
          <w:sz w:val="22"/>
          <w:szCs w:val="22"/>
        </w:rPr>
        <w:t>isproportionality</w:t>
      </w:r>
      <w:proofErr w:type="spellEnd"/>
      <w:r w:rsidRPr="00537FE2">
        <w:rPr>
          <w:color w:val="000000"/>
          <w:sz w:val="22"/>
          <w:szCs w:val="22"/>
        </w:rPr>
        <w:t xml:space="preserve"> statistics for signal detection in spontaneous ISCR databases. Principles of statistical data mining in ICSR databases. Calculating proportional reporting ratios (PRRs) and reporting odds ratios (RORs).</w:t>
      </w:r>
    </w:p>
    <w:p w14:paraId="3001E940" w14:textId="77777777" w:rsidR="00A451A1" w:rsidRPr="00537FE2" w:rsidRDefault="00A451A1" w:rsidP="00A451A1">
      <w:pPr>
        <w:pStyle w:val="yiv9251811057msonormal"/>
        <w:shd w:val="clear" w:color="auto" w:fill="FFFFFF"/>
        <w:spacing w:after="0" w:afterAutospacing="0"/>
        <w:ind w:left="1276" w:hanging="1276"/>
        <w:jc w:val="both"/>
        <w:rPr>
          <w:color w:val="1D2228"/>
          <w:sz w:val="22"/>
          <w:szCs w:val="22"/>
        </w:rPr>
      </w:pPr>
      <w:r w:rsidRPr="00537FE2">
        <w:rPr>
          <w:b/>
          <w:color w:val="000000"/>
          <w:sz w:val="22"/>
          <w:szCs w:val="22"/>
        </w:rPr>
        <w:t>PVG 824</w:t>
      </w:r>
      <w:r w:rsidRPr="00537FE2">
        <w:rPr>
          <w:color w:val="000000"/>
          <w:sz w:val="22"/>
          <w:szCs w:val="22"/>
        </w:rPr>
        <w:t xml:space="preserve">: </w:t>
      </w:r>
      <w:r w:rsidRPr="00537FE2">
        <w:rPr>
          <w:b/>
          <w:bCs/>
          <w:color w:val="000000"/>
          <w:sz w:val="22"/>
          <w:szCs w:val="22"/>
        </w:rPr>
        <w:t xml:space="preserve">Medication Error (ME): Definition, Impact, Detection                                    </w:t>
      </w:r>
    </w:p>
    <w:p w14:paraId="545DF951" w14:textId="77777777" w:rsidR="00A451A1" w:rsidRPr="00537FE2" w:rsidRDefault="00A451A1" w:rsidP="00A451A1">
      <w:pPr>
        <w:shd w:val="clear" w:color="auto" w:fill="FFFFFF"/>
        <w:spacing w:line="214" w:lineRule="atLeast"/>
        <w:jc w:val="both"/>
        <w:rPr>
          <w:color w:val="000000"/>
          <w:sz w:val="22"/>
          <w:szCs w:val="22"/>
        </w:rPr>
      </w:pPr>
      <w:r w:rsidRPr="00537FE2">
        <w:rPr>
          <w:color w:val="000000"/>
          <w:sz w:val="22"/>
          <w:szCs w:val="22"/>
        </w:rPr>
        <w:t>Definition and typology of MEs. Demarcation from off-label use.</w:t>
      </w:r>
      <w:r w:rsidRPr="00537FE2">
        <w:rPr>
          <w:color w:val="000000"/>
          <w:sz w:val="22"/>
          <w:szCs w:val="22"/>
          <w:lang w:val="en-GB"/>
        </w:rPr>
        <w:t> </w:t>
      </w:r>
      <w:r w:rsidRPr="00537FE2">
        <w:rPr>
          <w:color w:val="000000"/>
          <w:sz w:val="22"/>
          <w:szCs w:val="22"/>
        </w:rPr>
        <w:t xml:space="preserve">ME statistics and impact on public health Victims. Medical situations and medications typical for MEs. Detection of MEs: National spontaneous reporting schemes for professionals. </w:t>
      </w:r>
      <w:r w:rsidRPr="00537FE2">
        <w:rPr>
          <w:color w:val="000000"/>
          <w:sz w:val="22"/>
          <w:szCs w:val="22"/>
          <w:lang w:val="en-GB"/>
        </w:rPr>
        <w:t>D</w:t>
      </w:r>
      <w:r w:rsidRPr="00537FE2">
        <w:rPr>
          <w:color w:val="000000"/>
          <w:sz w:val="22"/>
          <w:szCs w:val="22"/>
        </w:rPr>
        <w:t>etection of MEs: Methods in specific healthcare settings for professionals. Detection of MEs: Patient reporting.</w:t>
      </w:r>
      <w:r w:rsidRPr="00537FE2">
        <w:rPr>
          <w:color w:val="000000"/>
          <w:sz w:val="22"/>
          <w:szCs w:val="22"/>
          <w:lang w:val="en-GB"/>
        </w:rPr>
        <w:t> </w:t>
      </w:r>
      <w:r w:rsidRPr="00537FE2">
        <w:rPr>
          <w:color w:val="000000"/>
          <w:sz w:val="22"/>
          <w:szCs w:val="22"/>
        </w:rPr>
        <w:t>ME reports: Description and assessment</w:t>
      </w:r>
      <w:r w:rsidRPr="00537FE2">
        <w:rPr>
          <w:color w:val="000000"/>
          <w:sz w:val="22"/>
          <w:szCs w:val="22"/>
          <w:lang w:val="en-GB"/>
        </w:rPr>
        <w:t>. </w:t>
      </w:r>
      <w:r w:rsidRPr="00537FE2">
        <w:rPr>
          <w:color w:val="000000"/>
          <w:sz w:val="22"/>
          <w:szCs w:val="22"/>
        </w:rPr>
        <w:t>Description of clinical patient aspects. Description of procedural and patient adherence aspects</w:t>
      </w:r>
      <w:r w:rsidRPr="00537FE2">
        <w:rPr>
          <w:color w:val="000000"/>
          <w:sz w:val="22"/>
          <w:szCs w:val="22"/>
          <w:lang w:val="en-GB"/>
        </w:rPr>
        <w:t>.</w:t>
      </w:r>
      <w:r w:rsidRPr="00537FE2">
        <w:rPr>
          <w:color w:val="000000"/>
          <w:sz w:val="22"/>
          <w:szCs w:val="22"/>
        </w:rPr>
        <w:t> Assessment of the proximal/immediate cause. Contributing system factors. Root cause analysis (RCA). Assessment of avoidability/preventability.</w:t>
      </w:r>
    </w:p>
    <w:p w14:paraId="343273B1" w14:textId="77777777" w:rsidR="00A451A1" w:rsidRPr="00537FE2" w:rsidRDefault="00A451A1" w:rsidP="00A451A1">
      <w:pPr>
        <w:shd w:val="clear" w:color="auto" w:fill="FFFFFF"/>
        <w:spacing w:line="214" w:lineRule="atLeast"/>
        <w:jc w:val="both"/>
        <w:rPr>
          <w:b/>
          <w:color w:val="1D2228"/>
          <w:sz w:val="22"/>
          <w:szCs w:val="22"/>
        </w:rPr>
      </w:pPr>
    </w:p>
    <w:p w14:paraId="0E8D09EC" w14:textId="77777777" w:rsidR="00A451A1" w:rsidRPr="00537FE2" w:rsidRDefault="00A451A1" w:rsidP="00A451A1">
      <w:pPr>
        <w:shd w:val="clear" w:color="auto" w:fill="FFFFFF"/>
        <w:spacing w:after="120"/>
        <w:ind w:left="1134" w:hanging="1134"/>
        <w:rPr>
          <w:b/>
          <w:bCs/>
          <w:color w:val="000000"/>
          <w:sz w:val="22"/>
          <w:szCs w:val="22"/>
        </w:rPr>
      </w:pPr>
      <w:r w:rsidRPr="00537FE2">
        <w:rPr>
          <w:b/>
          <w:color w:val="1D2228"/>
          <w:sz w:val="22"/>
          <w:szCs w:val="22"/>
        </w:rPr>
        <w:t xml:space="preserve">PVG 825:   </w:t>
      </w:r>
      <w:r w:rsidRPr="00537FE2">
        <w:rPr>
          <w:b/>
          <w:bCs/>
          <w:color w:val="000000"/>
          <w:sz w:val="22"/>
          <w:szCs w:val="22"/>
        </w:rPr>
        <w:t>Post-authorisation Observational Studies and Clinical Trials in PV</w:t>
      </w:r>
    </w:p>
    <w:p w14:paraId="53C25430" w14:textId="77777777" w:rsidR="00A451A1" w:rsidRPr="00537FE2" w:rsidRDefault="00A451A1" w:rsidP="00A451A1">
      <w:pPr>
        <w:shd w:val="clear" w:color="auto" w:fill="FFFFFF"/>
        <w:jc w:val="both"/>
        <w:rPr>
          <w:color w:val="1D2228"/>
          <w:sz w:val="22"/>
          <w:szCs w:val="22"/>
        </w:rPr>
      </w:pPr>
      <w:r w:rsidRPr="00537FE2">
        <w:rPr>
          <w:color w:val="000000"/>
          <w:sz w:val="22"/>
          <w:szCs w:val="22"/>
        </w:rPr>
        <w:t>Definition and objectives of post-authorisation studies. General requirements. Specific studies.</w:t>
      </w:r>
      <w:r w:rsidRPr="00537FE2">
        <w:rPr>
          <w:color w:val="000000"/>
          <w:sz w:val="22"/>
          <w:szCs w:val="22"/>
          <w:lang w:val="en-GB"/>
        </w:rPr>
        <w:t> N</w:t>
      </w:r>
      <w:r w:rsidRPr="00537FE2">
        <w:rPr>
          <w:color w:val="000000"/>
          <w:sz w:val="22"/>
          <w:szCs w:val="22"/>
        </w:rPr>
        <w:t>on-interventional studies. Pharmacoepidemiology. Post-authorisation studies for confirmation of signals and providing data on ADR frequency and causality</w:t>
      </w:r>
      <w:r w:rsidRPr="00537FE2">
        <w:rPr>
          <w:color w:val="000000"/>
          <w:sz w:val="22"/>
          <w:szCs w:val="22"/>
          <w:lang w:val="en-GB"/>
        </w:rPr>
        <w:t>.</w:t>
      </w:r>
      <w:r w:rsidRPr="00537FE2">
        <w:rPr>
          <w:color w:val="000000"/>
          <w:sz w:val="22"/>
          <w:szCs w:val="22"/>
        </w:rPr>
        <w:t> Observational studies: General formal and scientific requirements. Opportunities. Limitations. Population-oriented post-authorisation studies: Disease studies. Drug utilisation studies</w:t>
      </w:r>
      <w:r w:rsidRPr="00537FE2">
        <w:rPr>
          <w:color w:val="000000"/>
          <w:sz w:val="22"/>
          <w:szCs w:val="22"/>
          <w:lang w:val="en-GB"/>
        </w:rPr>
        <w:t>.</w:t>
      </w:r>
      <w:r w:rsidRPr="00537FE2">
        <w:rPr>
          <w:color w:val="000000"/>
          <w:sz w:val="22"/>
          <w:szCs w:val="22"/>
        </w:rPr>
        <w:t> Post-authorisation randomised clinical trials in particular ‘large simple trials’ (LSTs)</w:t>
      </w:r>
      <w:r w:rsidRPr="00537FE2">
        <w:rPr>
          <w:color w:val="000000"/>
          <w:sz w:val="22"/>
          <w:szCs w:val="22"/>
          <w:lang w:val="en-GB"/>
        </w:rPr>
        <w:t>. </w:t>
      </w:r>
      <w:r w:rsidRPr="00537FE2">
        <w:rPr>
          <w:color w:val="000000"/>
          <w:sz w:val="22"/>
          <w:szCs w:val="22"/>
        </w:rPr>
        <w:t>Important observational studies and their strengths and weaknesses. Cohort studies in general: Design, conduct, statistical analysis and presentation of results. Cohort-event monitoring (CEM) including PEM as specific applications. Case-control studies.</w:t>
      </w:r>
      <w:r w:rsidRPr="00537FE2">
        <w:rPr>
          <w:color w:val="000000"/>
          <w:sz w:val="22"/>
          <w:szCs w:val="22"/>
          <w:lang w:val="en-GB"/>
        </w:rPr>
        <w:t> </w:t>
      </w:r>
      <w:r w:rsidRPr="00537FE2">
        <w:rPr>
          <w:color w:val="000000"/>
          <w:sz w:val="22"/>
          <w:szCs w:val="22"/>
        </w:rPr>
        <w:t>Definition of bias and confounding and principles of dealing with them.</w:t>
      </w:r>
    </w:p>
    <w:p w14:paraId="61248AC7" w14:textId="77777777" w:rsidR="00A451A1" w:rsidRPr="00537FE2" w:rsidRDefault="00A451A1" w:rsidP="00A451A1">
      <w:pPr>
        <w:shd w:val="clear" w:color="auto" w:fill="FFFFFF"/>
        <w:spacing w:after="160" w:line="214" w:lineRule="atLeast"/>
        <w:jc w:val="both"/>
        <w:rPr>
          <w:b/>
          <w:bCs/>
          <w:color w:val="000000"/>
          <w:sz w:val="22"/>
          <w:szCs w:val="22"/>
          <w:lang w:val="en-GB"/>
        </w:rPr>
      </w:pPr>
      <w:r w:rsidRPr="00537FE2">
        <w:rPr>
          <w:color w:val="000000"/>
          <w:sz w:val="22"/>
          <w:szCs w:val="22"/>
          <w:lang w:val="en-GB"/>
        </w:rPr>
        <w:t> </w:t>
      </w:r>
    </w:p>
    <w:p w14:paraId="51ECF039" w14:textId="77777777" w:rsidR="00A451A1" w:rsidRPr="00537FE2" w:rsidRDefault="00A451A1" w:rsidP="00A451A1">
      <w:pPr>
        <w:shd w:val="clear" w:color="auto" w:fill="FFFFFF"/>
        <w:spacing w:after="160" w:line="214" w:lineRule="atLeast"/>
        <w:jc w:val="both"/>
        <w:rPr>
          <w:b/>
          <w:color w:val="000000"/>
          <w:sz w:val="22"/>
          <w:szCs w:val="22"/>
          <w:lang w:val="en-GB"/>
        </w:rPr>
      </w:pPr>
      <w:r w:rsidRPr="00537FE2">
        <w:rPr>
          <w:b/>
          <w:bCs/>
          <w:color w:val="000000"/>
          <w:sz w:val="22"/>
          <w:szCs w:val="22"/>
          <w:lang w:val="en-GB"/>
        </w:rPr>
        <w:t>PVG 826:</w:t>
      </w:r>
      <w:r w:rsidRPr="00537FE2">
        <w:rPr>
          <w:color w:val="000000"/>
          <w:sz w:val="22"/>
          <w:szCs w:val="22"/>
          <w:lang w:val="en-GB"/>
        </w:rPr>
        <w:t xml:space="preserve"> </w:t>
      </w:r>
      <w:r w:rsidRPr="00537FE2">
        <w:rPr>
          <w:b/>
          <w:color w:val="000000"/>
          <w:sz w:val="22"/>
          <w:szCs w:val="22"/>
          <w:lang w:val="en-GB"/>
        </w:rPr>
        <w:t xml:space="preserve">Pharmacovigilance of Herbal Medicines                         </w:t>
      </w:r>
    </w:p>
    <w:p w14:paraId="09C8A52F" w14:textId="77777777" w:rsidR="00A451A1" w:rsidRPr="00537FE2" w:rsidRDefault="00A451A1" w:rsidP="00A451A1">
      <w:pPr>
        <w:shd w:val="clear" w:color="auto" w:fill="FFFFFF"/>
        <w:spacing w:after="160" w:line="214" w:lineRule="atLeast"/>
        <w:jc w:val="both"/>
        <w:rPr>
          <w:bCs/>
          <w:sz w:val="22"/>
          <w:szCs w:val="22"/>
          <w:lang w:val="en-GB"/>
        </w:rPr>
      </w:pPr>
      <w:r w:rsidRPr="00537FE2">
        <w:rPr>
          <w:bCs/>
          <w:sz w:val="22"/>
          <w:szCs w:val="22"/>
          <w:lang w:val="en-GB"/>
        </w:rPr>
        <w:t xml:space="preserve">Prevalence and types of herbal medicines use, Integration of herbal medicines into national health care scheme, adverse reactions and herbal medicine toxicities, interactions of herbal medicines with orthodox medicines, disposition of herbal medicines practitioners to reporting adverse reactions to herbal medicines. </w:t>
      </w:r>
    </w:p>
    <w:p w14:paraId="7175B3D1" w14:textId="77777777" w:rsidR="00A451A1" w:rsidRDefault="00A451A1" w:rsidP="00A451A1">
      <w:pPr>
        <w:shd w:val="clear" w:color="auto" w:fill="FFFFFF"/>
        <w:spacing w:line="214" w:lineRule="atLeast"/>
        <w:jc w:val="both"/>
        <w:rPr>
          <w:b/>
          <w:sz w:val="22"/>
          <w:szCs w:val="22"/>
        </w:rPr>
      </w:pPr>
    </w:p>
    <w:p w14:paraId="4B805E86" w14:textId="77777777" w:rsidR="00A451A1" w:rsidRPr="00537FE2" w:rsidRDefault="00A451A1" w:rsidP="00A451A1">
      <w:pPr>
        <w:shd w:val="clear" w:color="auto" w:fill="FFFFFF"/>
        <w:spacing w:line="214" w:lineRule="atLeast"/>
        <w:jc w:val="both"/>
        <w:rPr>
          <w:b/>
          <w:sz w:val="22"/>
          <w:szCs w:val="22"/>
        </w:rPr>
      </w:pPr>
      <w:r w:rsidRPr="00537FE2">
        <w:rPr>
          <w:b/>
          <w:sz w:val="22"/>
          <w:szCs w:val="22"/>
        </w:rPr>
        <w:t xml:space="preserve">PVG 828: Research Seminar on Recent Advances in Pharmacovigilance and Pharmaco-epidemiology                                                    </w:t>
      </w:r>
    </w:p>
    <w:p w14:paraId="16B70F6D" w14:textId="77777777" w:rsidR="00A451A1" w:rsidRPr="00537FE2" w:rsidRDefault="00A451A1" w:rsidP="00A451A1">
      <w:pPr>
        <w:shd w:val="clear" w:color="auto" w:fill="FFFFFF"/>
        <w:spacing w:after="160" w:line="214" w:lineRule="atLeast"/>
        <w:jc w:val="both"/>
        <w:rPr>
          <w:sz w:val="22"/>
          <w:szCs w:val="22"/>
        </w:rPr>
      </w:pPr>
      <w:r w:rsidRPr="00537FE2">
        <w:rPr>
          <w:color w:val="000000" w:themeColor="text1"/>
          <w:sz w:val="22"/>
          <w:szCs w:val="22"/>
        </w:rPr>
        <w:t xml:space="preserve">Students will be required to make seminar presentation on </w:t>
      </w:r>
      <w:r w:rsidRPr="00537FE2">
        <w:rPr>
          <w:sz w:val="22"/>
          <w:szCs w:val="22"/>
        </w:rPr>
        <w:t>Pharmaco-epidemiology. The objective is to train graduate students how to search for write up and totally present scientific information.</w:t>
      </w:r>
    </w:p>
    <w:p w14:paraId="07D78CC9" w14:textId="77777777" w:rsidR="00A451A1" w:rsidRPr="00537FE2" w:rsidRDefault="00A451A1" w:rsidP="00A451A1">
      <w:pPr>
        <w:jc w:val="both"/>
        <w:rPr>
          <w:color w:val="000000" w:themeColor="text1"/>
          <w:sz w:val="22"/>
          <w:szCs w:val="22"/>
          <w:shd w:val="clear" w:color="auto" w:fill="FFFFFF"/>
        </w:rPr>
      </w:pPr>
      <w:r w:rsidRPr="00537FE2">
        <w:rPr>
          <w:b/>
          <w:bCs/>
          <w:color w:val="000000" w:themeColor="text1"/>
          <w:sz w:val="22"/>
          <w:szCs w:val="22"/>
        </w:rPr>
        <w:t>PVG 829: Research</w:t>
      </w:r>
      <w:r w:rsidRPr="00537FE2">
        <w:rPr>
          <w:b/>
          <w:bCs/>
          <w:color w:val="000000" w:themeColor="text1"/>
          <w:sz w:val="22"/>
          <w:szCs w:val="22"/>
        </w:rPr>
        <w:tab/>
      </w:r>
    </w:p>
    <w:p w14:paraId="7340B9BB" w14:textId="77777777" w:rsidR="00A451A1" w:rsidRPr="00537FE2" w:rsidRDefault="00A451A1" w:rsidP="00A451A1">
      <w:pPr>
        <w:shd w:val="clear" w:color="auto" w:fill="FFFFFF"/>
        <w:spacing w:after="160" w:line="214" w:lineRule="atLeast"/>
        <w:jc w:val="both"/>
        <w:rPr>
          <w:sz w:val="22"/>
          <w:szCs w:val="22"/>
        </w:rPr>
      </w:pPr>
      <w:r w:rsidRPr="00537FE2">
        <w:rPr>
          <w:sz w:val="22"/>
          <w:szCs w:val="22"/>
        </w:rPr>
        <w:t>Application of Research Techniques and Development of Research Methodologies to solve problems in any aspect of Pharmacovigilance.</w:t>
      </w:r>
    </w:p>
    <w:p w14:paraId="15223C6A" w14:textId="77777777" w:rsidR="00A451A1" w:rsidRDefault="00A451A1" w:rsidP="00A451A1">
      <w:pPr>
        <w:rPr>
          <w:b/>
          <w:sz w:val="22"/>
          <w:szCs w:val="22"/>
        </w:rPr>
      </w:pPr>
    </w:p>
    <w:p w14:paraId="5D745D30" w14:textId="77777777" w:rsidR="00A451A1" w:rsidRPr="00537FE2" w:rsidRDefault="00A451A1" w:rsidP="00A451A1">
      <w:pPr>
        <w:rPr>
          <w:color w:val="000000" w:themeColor="text1"/>
          <w:sz w:val="22"/>
          <w:szCs w:val="22"/>
        </w:rPr>
      </w:pPr>
      <w:r w:rsidRPr="00537FE2">
        <w:rPr>
          <w:b/>
          <w:sz w:val="22"/>
          <w:szCs w:val="22"/>
        </w:rPr>
        <w:t xml:space="preserve">PUH 801:  Medical Statistics             </w:t>
      </w:r>
      <w:r w:rsidRPr="00537FE2">
        <w:rPr>
          <w:b/>
          <w:sz w:val="22"/>
          <w:szCs w:val="22"/>
        </w:rPr>
        <w:tab/>
      </w:r>
      <w:r w:rsidRPr="00537FE2">
        <w:rPr>
          <w:b/>
          <w:sz w:val="22"/>
          <w:szCs w:val="22"/>
        </w:rPr>
        <w:tab/>
        <w:t xml:space="preserve">                                                                                                            </w:t>
      </w:r>
      <w:r w:rsidRPr="00537FE2">
        <w:rPr>
          <w:color w:val="000000" w:themeColor="text1"/>
          <w:sz w:val="22"/>
          <w:szCs w:val="22"/>
        </w:rPr>
        <w:t>This course is to equip students with statistical analysis of experimental data. Design, conduct and interpretation of clinical and epidemiological studies. Standard statistical concepts of data description. Hypothesis testing including test statistics, correlation, p-values, significance levels, confidence levels and linear regression.</w:t>
      </w:r>
    </w:p>
    <w:p w14:paraId="5427DA7F" w14:textId="77777777" w:rsidR="00A451A1" w:rsidRPr="00537FE2" w:rsidRDefault="00A451A1" w:rsidP="00A451A1">
      <w:pPr>
        <w:shd w:val="clear" w:color="auto" w:fill="FFFFFF"/>
        <w:spacing w:line="233" w:lineRule="atLeast"/>
        <w:jc w:val="both"/>
        <w:rPr>
          <w:b/>
          <w:bCs/>
          <w:color w:val="222222"/>
          <w:sz w:val="22"/>
          <w:szCs w:val="22"/>
        </w:rPr>
      </w:pPr>
    </w:p>
    <w:p w14:paraId="17F60EBC" w14:textId="77777777" w:rsidR="00A451A1" w:rsidRPr="00537FE2" w:rsidRDefault="00A451A1" w:rsidP="00A451A1">
      <w:pPr>
        <w:shd w:val="clear" w:color="auto" w:fill="FFFFFF"/>
        <w:spacing w:line="233" w:lineRule="atLeast"/>
        <w:ind w:left="1276" w:hanging="1276"/>
        <w:jc w:val="both"/>
        <w:rPr>
          <w:b/>
          <w:bCs/>
          <w:color w:val="222222"/>
          <w:sz w:val="22"/>
          <w:szCs w:val="22"/>
          <w:lang w:val="en-GB"/>
        </w:rPr>
      </w:pPr>
      <w:r w:rsidRPr="00537FE2">
        <w:rPr>
          <w:b/>
          <w:bCs/>
          <w:color w:val="222222"/>
          <w:sz w:val="22"/>
          <w:szCs w:val="22"/>
        </w:rPr>
        <w:t>PCH 801</w:t>
      </w:r>
      <w:r w:rsidRPr="00537FE2">
        <w:rPr>
          <w:b/>
          <w:bCs/>
          <w:color w:val="222222"/>
          <w:sz w:val="22"/>
          <w:szCs w:val="22"/>
          <w:lang w:val="en-GB"/>
        </w:rPr>
        <w:t>:   </w:t>
      </w:r>
      <w:r w:rsidRPr="00537FE2">
        <w:rPr>
          <w:b/>
          <w:bCs/>
          <w:color w:val="000000"/>
          <w:sz w:val="22"/>
          <w:szCs w:val="22"/>
          <w:lang w:val="en-GB"/>
        </w:rPr>
        <w:t>Drug Quality Assurance &amp; Total Quality Management</w:t>
      </w:r>
      <w:r w:rsidRPr="00537FE2">
        <w:rPr>
          <w:b/>
          <w:bCs/>
          <w:color w:val="222222"/>
          <w:sz w:val="22"/>
          <w:szCs w:val="22"/>
          <w:lang w:val="en-GB"/>
        </w:rPr>
        <w:t>                               </w:t>
      </w:r>
    </w:p>
    <w:p w14:paraId="559FF88B" w14:textId="77777777" w:rsidR="00A451A1" w:rsidRPr="00537FE2" w:rsidRDefault="00A451A1" w:rsidP="00A451A1">
      <w:pPr>
        <w:shd w:val="clear" w:color="auto" w:fill="FFFFFF"/>
        <w:spacing w:line="233" w:lineRule="atLeast"/>
        <w:jc w:val="both"/>
        <w:rPr>
          <w:sz w:val="22"/>
          <w:szCs w:val="22"/>
          <w:lang w:val="en-GB"/>
        </w:rPr>
      </w:pPr>
      <w:r w:rsidRPr="00537FE2">
        <w:rPr>
          <w:sz w:val="22"/>
          <w:szCs w:val="22"/>
          <w:lang w:val="en-GB"/>
        </w:rPr>
        <w:t xml:space="preserve">The importance of Quality Control of Pharmaceuticals, Veterinary medicines and Agrochemicals. Personnel. Facilities and Documentation. Standard Operating Procedures (SOPs). Pharmacopoeia Monographs (USP, BP, BPC, </w:t>
      </w:r>
      <w:proofErr w:type="spellStart"/>
      <w:r w:rsidRPr="00537FE2">
        <w:rPr>
          <w:sz w:val="22"/>
          <w:szCs w:val="22"/>
          <w:lang w:val="en-GB"/>
        </w:rPr>
        <w:t>EuP</w:t>
      </w:r>
      <w:proofErr w:type="spellEnd"/>
      <w:r w:rsidRPr="00537FE2">
        <w:rPr>
          <w:sz w:val="22"/>
          <w:szCs w:val="22"/>
          <w:lang w:val="en-GB"/>
        </w:rPr>
        <w:t xml:space="preserve"> etc.). Relevant equipment and manuals needed to establish a standard Drug Quality Control Laboratory. Regulatory Aspects of Drug and Chemicals: Quality Control. Functions of Regulatory bodies such as WHO, NAFDAC PCN, PGMAN, FMOH, IPAN etc. Total Quality Management (TQM). Quantitative Aspects of Pharmaceutical Analysis: Acid- Base </w:t>
      </w:r>
      <w:proofErr w:type="spellStart"/>
      <w:r w:rsidRPr="00537FE2">
        <w:rPr>
          <w:sz w:val="22"/>
          <w:szCs w:val="22"/>
          <w:lang w:val="en-GB"/>
        </w:rPr>
        <w:t>titrimetry</w:t>
      </w:r>
      <w:proofErr w:type="spellEnd"/>
      <w:r w:rsidRPr="00537FE2">
        <w:rPr>
          <w:sz w:val="22"/>
          <w:szCs w:val="22"/>
          <w:lang w:val="en-GB"/>
        </w:rPr>
        <w:t xml:space="preserve">. Redox </w:t>
      </w:r>
      <w:proofErr w:type="spellStart"/>
      <w:r w:rsidRPr="00537FE2">
        <w:rPr>
          <w:sz w:val="22"/>
          <w:szCs w:val="22"/>
          <w:lang w:val="en-GB"/>
        </w:rPr>
        <w:t>titrimetry</w:t>
      </w:r>
      <w:proofErr w:type="spellEnd"/>
      <w:r w:rsidRPr="00537FE2">
        <w:rPr>
          <w:sz w:val="22"/>
          <w:szCs w:val="22"/>
          <w:lang w:val="en-GB"/>
        </w:rPr>
        <w:t>. Gravimetry. Separation Techniques: Extraction Methods and Chromatography (TLC, CC, HPLC, GC, GC/MS, Super Critical Fluid Chromatograph). Electrochemistry Capillary Electrophoresis. UV/Visible Spectroscopy. Fluorescence/Phosphorescence. Atomic Absorption Spectroscopy (AAS), Validation of Analytical procedures.</w:t>
      </w:r>
    </w:p>
    <w:p w14:paraId="750ED9D0" w14:textId="77777777" w:rsidR="00A451A1" w:rsidRPr="00537FE2" w:rsidRDefault="00A451A1" w:rsidP="00A451A1">
      <w:pPr>
        <w:shd w:val="clear" w:color="auto" w:fill="FFFFFF"/>
        <w:spacing w:line="233" w:lineRule="atLeast"/>
        <w:jc w:val="both"/>
        <w:rPr>
          <w:color w:val="222222"/>
          <w:sz w:val="22"/>
          <w:szCs w:val="22"/>
        </w:rPr>
      </w:pPr>
    </w:p>
    <w:p w14:paraId="55C7014A" w14:textId="77777777" w:rsidR="00A451A1" w:rsidRPr="007F163A" w:rsidRDefault="00A451A1" w:rsidP="00A451A1">
      <w:pPr>
        <w:ind w:left="993" w:hanging="993"/>
        <w:rPr>
          <w:b/>
          <w:sz w:val="22"/>
          <w:szCs w:val="22"/>
        </w:rPr>
      </w:pPr>
      <w:r w:rsidRPr="007F163A">
        <w:rPr>
          <w:b/>
          <w:sz w:val="22"/>
          <w:szCs w:val="22"/>
        </w:rPr>
        <w:t xml:space="preserve">PCL 807: Advanced Pharmacy Practice Research Methods &amp; Medicine Regulation  </w:t>
      </w:r>
    </w:p>
    <w:p w14:paraId="4E89501E" w14:textId="77777777" w:rsidR="00A451A1" w:rsidRPr="007F163A" w:rsidRDefault="00A451A1" w:rsidP="00A451A1">
      <w:pPr>
        <w:jc w:val="both"/>
        <w:rPr>
          <w:sz w:val="22"/>
          <w:szCs w:val="22"/>
        </w:rPr>
      </w:pPr>
      <w:r w:rsidRPr="007F163A">
        <w:rPr>
          <w:sz w:val="22"/>
          <w:szCs w:val="22"/>
        </w:rPr>
        <w:t>Research Design: Preliminary considerations. Selection of a design. Review of literature. Use of theory and writing strategies. Ethical considerations. Designing Research. Introduction and purpose statement. Research questions and hypothesis. Quantitative and Qualitative Methods. Sampling Methods and Types of Sampling. Statistical evaluation: Parametric and non-parametric. Correlation. Regression. Null Hypothesis. Research methods. Protocols and procedures. Clinica1 Trials. Bioavailability and Pharmacokinetic Studies. Quality Evaluation. Regulatory bodies and the requirements. Product registration and licensing.</w:t>
      </w:r>
    </w:p>
    <w:p w14:paraId="04D37FBF" w14:textId="77777777" w:rsidR="00A451A1" w:rsidRPr="007F163A" w:rsidRDefault="00A451A1" w:rsidP="00A451A1">
      <w:pPr>
        <w:pStyle w:val="ListParagraph"/>
        <w:spacing w:before="240"/>
        <w:ind w:left="0"/>
        <w:rPr>
          <w:b/>
          <w:sz w:val="22"/>
          <w:szCs w:val="22"/>
        </w:rPr>
      </w:pPr>
      <w:r w:rsidRPr="007F163A">
        <w:rPr>
          <w:b/>
          <w:sz w:val="22"/>
          <w:szCs w:val="22"/>
        </w:rPr>
        <w:t xml:space="preserve">PCL 811: Adverse Drug Reactions &amp; Pharmacovigilance                                              </w:t>
      </w:r>
    </w:p>
    <w:p w14:paraId="40D864A1" w14:textId="77777777" w:rsidR="00A451A1" w:rsidRPr="007F163A" w:rsidRDefault="00A451A1" w:rsidP="00A451A1">
      <w:pPr>
        <w:jc w:val="both"/>
        <w:rPr>
          <w:sz w:val="22"/>
          <w:szCs w:val="22"/>
        </w:rPr>
      </w:pPr>
      <w:r w:rsidRPr="007F163A">
        <w:rPr>
          <w:sz w:val="22"/>
          <w:szCs w:val="22"/>
        </w:rPr>
        <w:t>Adverse Drug Reactions (ADRs) and Adverse drug events (ADEs): Occurrence and recognition in the Community. Role of prescriber. The pharmacist and patient in recognizing and documenting ADRs.</w:t>
      </w:r>
    </w:p>
    <w:p w14:paraId="48994EB4" w14:textId="77777777" w:rsidR="00A451A1" w:rsidRPr="007F163A" w:rsidRDefault="00A451A1" w:rsidP="00A451A1">
      <w:pPr>
        <w:jc w:val="both"/>
        <w:rPr>
          <w:b/>
          <w:sz w:val="22"/>
          <w:szCs w:val="22"/>
        </w:rPr>
      </w:pPr>
      <w:r w:rsidRPr="007F163A">
        <w:rPr>
          <w:sz w:val="22"/>
          <w:szCs w:val="22"/>
        </w:rPr>
        <w:t>Pharmacovigilance. Risk Management Plan. Regulatory authorities and the Pharmaceutical Industry. Health care performed. Design of ADR and Pharmacovigilance cards/funds for use in hospital. Community Pharmacy and by the Community or the populace. Their roles and responsibilities in ADR reporting and pharmacovigilance clients.</w:t>
      </w:r>
    </w:p>
    <w:p w14:paraId="3C6D1D8B" w14:textId="77777777" w:rsidR="00A451A1" w:rsidRPr="007F163A" w:rsidRDefault="00A451A1" w:rsidP="00A451A1">
      <w:pPr>
        <w:jc w:val="both"/>
        <w:rPr>
          <w:sz w:val="22"/>
          <w:szCs w:val="22"/>
        </w:rPr>
      </w:pPr>
    </w:p>
    <w:p w14:paraId="41132248" w14:textId="77777777" w:rsidR="00A451A1" w:rsidRPr="007F163A" w:rsidRDefault="00A451A1" w:rsidP="00A451A1">
      <w:pPr>
        <w:ind w:left="993" w:hanging="993"/>
        <w:rPr>
          <w:b/>
          <w:sz w:val="22"/>
          <w:szCs w:val="22"/>
        </w:rPr>
      </w:pPr>
      <w:r w:rsidRPr="007F163A">
        <w:rPr>
          <w:b/>
          <w:sz w:val="22"/>
          <w:szCs w:val="22"/>
          <w:lang w:val="en-GB"/>
        </w:rPr>
        <w:t xml:space="preserve">PCH 808: </w:t>
      </w:r>
      <w:r w:rsidRPr="007F163A">
        <w:rPr>
          <w:b/>
          <w:sz w:val="22"/>
          <w:szCs w:val="22"/>
        </w:rPr>
        <w:t>Biotransformation Reactions, Pharmacogenomic</w:t>
      </w:r>
      <w:r>
        <w:rPr>
          <w:b/>
          <w:sz w:val="22"/>
          <w:szCs w:val="22"/>
        </w:rPr>
        <w:t xml:space="preserve"> </w:t>
      </w:r>
      <w:r w:rsidRPr="007F163A">
        <w:rPr>
          <w:b/>
          <w:sz w:val="22"/>
          <w:szCs w:val="22"/>
        </w:rPr>
        <w:t>/</w:t>
      </w:r>
      <w:r>
        <w:rPr>
          <w:b/>
          <w:sz w:val="22"/>
          <w:szCs w:val="22"/>
        </w:rPr>
        <w:t xml:space="preserve"> </w:t>
      </w:r>
      <w:r w:rsidRPr="007F163A">
        <w:rPr>
          <w:b/>
          <w:sz w:val="22"/>
          <w:szCs w:val="22"/>
        </w:rPr>
        <w:t xml:space="preserve">Pharmacogenetics &amp; Personalized Medicines                                                                                                                                                   </w:t>
      </w:r>
    </w:p>
    <w:p w14:paraId="1616F442" w14:textId="77777777" w:rsidR="00A451A1" w:rsidRPr="007F163A" w:rsidRDefault="00A451A1" w:rsidP="00A451A1">
      <w:pPr>
        <w:jc w:val="both"/>
        <w:rPr>
          <w:sz w:val="22"/>
          <w:szCs w:val="22"/>
        </w:rPr>
      </w:pPr>
      <w:r w:rsidRPr="007F163A">
        <w:rPr>
          <w:bCs/>
          <w:sz w:val="22"/>
          <w:szCs w:val="22"/>
        </w:rPr>
        <w:t xml:space="preserve">Drug metabolism studies: </w:t>
      </w:r>
      <w:r w:rsidRPr="007F163A">
        <w:rPr>
          <w:sz w:val="22"/>
          <w:szCs w:val="22"/>
        </w:rPr>
        <w:t xml:space="preserve">Hepatic microsomal biotransformation. Enzyme systems and metabolic pathways involving reactions such as oxidation, reduction, hydrolysis and conjugation reaction (Phase 1, Phase 2 and Phase 3 bioreactions). Non-microsomal metabolic transformations involving some of the above-mentioned phases. Mechanism of biotransformation of specific groups in drugs and biological effects of such drugs. Literature review and current concepts in Drug Biotransformation. </w:t>
      </w:r>
      <w:r w:rsidRPr="007F163A">
        <w:rPr>
          <w:bCs/>
          <w:sz w:val="22"/>
          <w:szCs w:val="22"/>
        </w:rPr>
        <w:t xml:space="preserve"> </w:t>
      </w:r>
      <w:r w:rsidRPr="007F163A">
        <w:rPr>
          <w:bCs/>
          <w:sz w:val="22"/>
          <w:szCs w:val="22"/>
        </w:rPr>
        <w:lastRenderedPageBreak/>
        <w:t xml:space="preserve">Methods in metabolic studies: </w:t>
      </w:r>
      <w:r w:rsidRPr="007F163A">
        <w:rPr>
          <w:sz w:val="22"/>
          <w:szCs w:val="22"/>
        </w:rPr>
        <w:t>In vitro and in vivo studies- Preparation of tissue homogenates. Preparation and purification of pure enzymes, such as the “Oxidases” (e.g. oxidise). Methods in isolation, identification, and Characterization and metabolites. Biochemical methods of identifying the enzyme systems catalyzing biotransformation reactions. The use of specific inhibitors and indicators. Principles of Pharmacogenomics and personalized medicines (Drug Development e.g. Vaccines against HIV and Malaria).</w:t>
      </w:r>
    </w:p>
    <w:p w14:paraId="09A54220" w14:textId="77777777" w:rsidR="00A451A1" w:rsidRPr="007F163A" w:rsidRDefault="00A451A1" w:rsidP="00A451A1">
      <w:pPr>
        <w:rPr>
          <w:b/>
          <w:sz w:val="22"/>
          <w:szCs w:val="22"/>
        </w:rPr>
      </w:pPr>
    </w:p>
    <w:p w14:paraId="23E6774E" w14:textId="77777777" w:rsidR="00A451A1" w:rsidRPr="007F163A" w:rsidRDefault="00A451A1" w:rsidP="00A451A1">
      <w:pPr>
        <w:ind w:left="993" w:hanging="993"/>
        <w:jc w:val="both"/>
        <w:rPr>
          <w:b/>
          <w:sz w:val="22"/>
          <w:szCs w:val="22"/>
        </w:rPr>
      </w:pPr>
      <w:r w:rsidRPr="007F163A">
        <w:rPr>
          <w:b/>
          <w:sz w:val="22"/>
          <w:szCs w:val="22"/>
        </w:rPr>
        <w:t xml:space="preserve">RSC 821: </w:t>
      </w:r>
      <w:r w:rsidRPr="007F163A">
        <w:rPr>
          <w:b/>
          <w:color w:val="000000"/>
          <w:sz w:val="22"/>
          <w:szCs w:val="22"/>
        </w:rPr>
        <w:t xml:space="preserve">Regulation of Pharmaceutical, Biologic Products and Medical devices          </w:t>
      </w:r>
    </w:p>
    <w:p w14:paraId="37F07307" w14:textId="5B7BAF38" w:rsidR="00A451A1" w:rsidRDefault="00A451A1" w:rsidP="00A451A1">
      <w:pPr>
        <w:jc w:val="both"/>
      </w:pPr>
      <w:r w:rsidRPr="007F163A">
        <w:rPr>
          <w:sz w:val="22"/>
          <w:szCs w:val="22"/>
        </w:rPr>
        <w:t>The course will explore the relationships between scientific discovery, testing and regulatory oversight. It will look at the rules governing prescription and over-the-counter drugs, and look at the changes that are introduced by the burgeoning influence of genetic engineering and biological product development. It will consider the practical issues facing regulatory specialists as they work with the NAFDAC and other international regulatory bodies to secure and keep product approval. Legal framework for drug regulation ethical issues in drug/biologic/device development and drug/biologic/device use; global regulatory guidance approaches; types of communications with NAFDAC, including Investigational New Drug (IND) application, New Drug Application (NDA), and Abbreviated New Drug Application (ANDA) requirements, and clearance and Premarket Approvals / Biologics Licensing Applications (PMA/BLA) approval requirements; chemistry, manufacturing, and control (CMC) issues; and post-marketing topics.</w:t>
      </w:r>
    </w:p>
    <w:sectPr w:rsidR="00A451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altName w:val="﷽﷽﷽﷽﷽﷽﷽﷽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mp;quot">
    <w:altName w:val="Segoe Print"/>
    <w:panose1 w:val="020B0604020202020204"/>
    <w:charset w:val="00"/>
    <w:family w:val="auto"/>
    <w:pitch w:val="default"/>
    <w:sig w:usb0="00000000" w:usb1="00000000" w:usb2="00000000" w:usb3="00000000" w:csb0="00040001" w:csb1="00000000"/>
  </w:font>
  <w:font w:name="AdvPTimes">
    <w:altName w:val="Segoe Print"/>
    <w:panose1 w:val="020B0604020202020204"/>
    <w:charset w:val="00"/>
    <w:family w:val="auto"/>
    <w:pitch w:val="default"/>
    <w:sig w:usb0="00000000" w:usb1="00000000" w:usb2="00000000" w:usb3="00000000" w:csb0="00040001" w:csb1="00000000"/>
  </w:font>
  <w:font w:name="AdvPTimesB">
    <w:altName w:val="Segoe Print"/>
    <w:panose1 w:val="020B0604020202020204"/>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513BC"/>
    <w:multiLevelType w:val="multilevel"/>
    <w:tmpl w:val="1B7513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97C3E05"/>
    <w:multiLevelType w:val="multilevel"/>
    <w:tmpl w:val="25FE46E4"/>
    <w:lvl w:ilvl="0">
      <w:start w:val="1"/>
      <w:numFmt w:val="lowerRoman"/>
      <w:lvlText w:val="%1)"/>
      <w:lvlJc w:val="left"/>
      <w:pPr>
        <w:ind w:left="1440" w:hanging="360"/>
      </w:pPr>
      <w:rPr>
        <w:rFonts w:ascii="Arial Narrow" w:eastAsia="Times New Roman" w:hAnsi="Arial Narrow"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35D85FCD"/>
    <w:multiLevelType w:val="hybridMultilevel"/>
    <w:tmpl w:val="587E760A"/>
    <w:lvl w:ilvl="0" w:tplc="031803E4">
      <w:start w:val="1"/>
      <w:numFmt w:val="decimal"/>
      <w:pStyle w:val="Heading3"/>
      <w:lvlText w:val="3.%1"/>
      <w:lvlJc w:val="left"/>
      <w:pPr>
        <w:ind w:left="121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3" w15:restartNumberingAfterBreak="0">
    <w:nsid w:val="3FF83F1A"/>
    <w:multiLevelType w:val="multilevel"/>
    <w:tmpl w:val="3FF83F1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2D3"/>
    <w:rsid w:val="00025570"/>
    <w:rsid w:val="00092FA8"/>
    <w:rsid w:val="00501053"/>
    <w:rsid w:val="009F22D3"/>
    <w:rsid w:val="00A451A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C3931B3"/>
  <w15:chartTrackingRefBased/>
  <w15:docId w15:val="{47D9FE5C-B388-B842-8C38-5C31A9024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51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22D3"/>
    <w:pPr>
      <w:keepNext/>
      <w:spacing w:before="240" w:after="60"/>
      <w:outlineLvl w:val="1"/>
    </w:pPr>
    <w:rPr>
      <w:rFonts w:asciiTheme="majorHAnsi" w:eastAsiaTheme="majorEastAsia" w:hAnsiTheme="majorHAnsi" w:cstheme="majorBidi"/>
      <w:b/>
      <w:bCs/>
      <w:i/>
      <w:iCs/>
      <w:szCs w:val="28"/>
      <w:lang w:val="en-US"/>
    </w:rPr>
  </w:style>
  <w:style w:type="paragraph" w:styleId="Heading3">
    <w:name w:val="heading 3"/>
    <w:basedOn w:val="Normal"/>
    <w:next w:val="Normal"/>
    <w:link w:val="Heading3Char"/>
    <w:uiPriority w:val="9"/>
    <w:unhideWhenUsed/>
    <w:qFormat/>
    <w:rsid w:val="009F22D3"/>
    <w:pPr>
      <w:keepNext/>
      <w:numPr>
        <w:numId w:val="1"/>
      </w:numPr>
      <w:spacing w:before="240" w:after="60"/>
      <w:outlineLvl w:val="2"/>
    </w:pPr>
    <w:rPr>
      <w:rFonts w:ascii="Times New Roman" w:eastAsiaTheme="majorEastAsia" w:hAnsi="Times New Roman" w:cstheme="majorBidi"/>
      <w:bCs/>
      <w:i/>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22D3"/>
    <w:rPr>
      <w:rFonts w:asciiTheme="majorHAnsi" w:eastAsiaTheme="majorEastAsia" w:hAnsiTheme="majorHAnsi" w:cstheme="majorBidi"/>
      <w:b/>
      <w:bCs/>
      <w:i/>
      <w:iCs/>
      <w:szCs w:val="28"/>
      <w:lang w:val="en-US"/>
    </w:rPr>
  </w:style>
  <w:style w:type="character" w:customStyle="1" w:styleId="Heading3Char">
    <w:name w:val="Heading 3 Char"/>
    <w:basedOn w:val="DefaultParagraphFont"/>
    <w:link w:val="Heading3"/>
    <w:uiPriority w:val="9"/>
    <w:rsid w:val="009F22D3"/>
    <w:rPr>
      <w:rFonts w:ascii="Times New Roman" w:eastAsiaTheme="majorEastAsia" w:hAnsi="Times New Roman" w:cstheme="majorBidi"/>
      <w:bCs/>
      <w:i/>
      <w:szCs w:val="26"/>
      <w:lang w:val="en-US"/>
    </w:rPr>
  </w:style>
  <w:style w:type="paragraph" w:styleId="ListParagraph">
    <w:name w:val="List Paragraph"/>
    <w:basedOn w:val="Normal"/>
    <w:link w:val="ListParagraphChar"/>
    <w:uiPriority w:val="34"/>
    <w:qFormat/>
    <w:rsid w:val="009F22D3"/>
    <w:pPr>
      <w:ind w:left="720"/>
      <w:contextualSpacing/>
    </w:pPr>
    <w:rPr>
      <w:rFonts w:ascii="Times New Roman" w:eastAsia="Times New Roman" w:hAnsi="Times New Roman" w:cs="Times New Roman"/>
      <w:sz w:val="20"/>
      <w:szCs w:val="20"/>
      <w:lang w:val="en-US"/>
    </w:rPr>
  </w:style>
  <w:style w:type="character" w:customStyle="1" w:styleId="ListParagraphChar">
    <w:name w:val="List Paragraph Char"/>
    <w:link w:val="ListParagraph"/>
    <w:uiPriority w:val="34"/>
    <w:rsid w:val="009F22D3"/>
    <w:rPr>
      <w:rFonts w:ascii="Times New Roman" w:eastAsia="Times New Roman" w:hAnsi="Times New Roman" w:cs="Times New Roman"/>
      <w:sz w:val="20"/>
      <w:szCs w:val="20"/>
      <w:lang w:val="en-US"/>
    </w:rPr>
  </w:style>
  <w:style w:type="table" w:styleId="TableGrid">
    <w:name w:val="Table Grid"/>
    <w:basedOn w:val="TableNormal"/>
    <w:uiPriority w:val="59"/>
    <w:unhideWhenUsed/>
    <w:rsid w:val="009F22D3"/>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251811057msonormal">
    <w:name w:val="yiv9251811057msonormal"/>
    <w:basedOn w:val="Normal"/>
    <w:rsid w:val="00A451A1"/>
    <w:pPr>
      <w:spacing w:before="100" w:beforeAutospacing="1" w:after="100" w:afterAutospacing="1"/>
    </w:pPr>
    <w:rPr>
      <w:rFonts w:ascii="Times New Roman" w:eastAsia="Times New Roman" w:hAnsi="Times New Roman" w:cs="Times New Roman"/>
      <w:lang w:val="en-US"/>
    </w:rPr>
  </w:style>
  <w:style w:type="paragraph" w:customStyle="1" w:styleId="yiv9251811057gmail-msonormal">
    <w:name w:val="yiv9251811057gmail-msonormal"/>
    <w:basedOn w:val="Normal"/>
    <w:rsid w:val="00A451A1"/>
    <w:pPr>
      <w:spacing w:before="100" w:beforeAutospacing="1" w:after="100" w:afterAutospacing="1"/>
    </w:pPr>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9"/>
    <w:rsid w:val="00A451A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451A1"/>
    <w:pPr>
      <w:spacing w:before="480" w:line="276" w:lineRule="auto"/>
      <w:outlineLvl w:val="9"/>
    </w:pPr>
    <w:rPr>
      <w:b/>
      <w:bCs/>
      <w:sz w:val="28"/>
      <w:szCs w:val="28"/>
      <w:lang w:val="en-US"/>
    </w:rPr>
  </w:style>
  <w:style w:type="paragraph" w:styleId="TOC2">
    <w:name w:val="toc 2"/>
    <w:basedOn w:val="Normal"/>
    <w:next w:val="Normal"/>
    <w:autoRedefine/>
    <w:uiPriority w:val="39"/>
    <w:unhideWhenUsed/>
    <w:rsid w:val="00A451A1"/>
    <w:pPr>
      <w:spacing w:before="120"/>
      <w:ind w:left="240"/>
    </w:pPr>
    <w:rPr>
      <w:i/>
      <w:iCs/>
      <w:sz w:val="20"/>
      <w:szCs w:val="20"/>
    </w:rPr>
  </w:style>
  <w:style w:type="paragraph" w:styleId="TOC3">
    <w:name w:val="toc 3"/>
    <w:basedOn w:val="Normal"/>
    <w:next w:val="Normal"/>
    <w:autoRedefine/>
    <w:uiPriority w:val="39"/>
    <w:unhideWhenUsed/>
    <w:rsid w:val="00A451A1"/>
    <w:pPr>
      <w:ind w:left="480"/>
    </w:pPr>
    <w:rPr>
      <w:sz w:val="20"/>
      <w:szCs w:val="20"/>
    </w:rPr>
  </w:style>
  <w:style w:type="character" w:styleId="Hyperlink">
    <w:name w:val="Hyperlink"/>
    <w:basedOn w:val="DefaultParagraphFont"/>
    <w:uiPriority w:val="99"/>
    <w:unhideWhenUsed/>
    <w:rsid w:val="00A451A1"/>
    <w:rPr>
      <w:color w:val="0563C1" w:themeColor="hyperlink"/>
      <w:u w:val="single"/>
    </w:rPr>
  </w:style>
  <w:style w:type="paragraph" w:styleId="TOC1">
    <w:name w:val="toc 1"/>
    <w:basedOn w:val="Normal"/>
    <w:next w:val="Normal"/>
    <w:autoRedefine/>
    <w:uiPriority w:val="39"/>
    <w:unhideWhenUsed/>
    <w:rsid w:val="00A451A1"/>
    <w:pPr>
      <w:spacing w:before="240" w:after="120"/>
    </w:pPr>
    <w:rPr>
      <w:b/>
      <w:bCs/>
      <w:sz w:val="20"/>
      <w:szCs w:val="20"/>
    </w:rPr>
  </w:style>
  <w:style w:type="paragraph" w:styleId="TOC4">
    <w:name w:val="toc 4"/>
    <w:basedOn w:val="Normal"/>
    <w:next w:val="Normal"/>
    <w:autoRedefine/>
    <w:uiPriority w:val="39"/>
    <w:unhideWhenUsed/>
    <w:rsid w:val="00A451A1"/>
    <w:pPr>
      <w:ind w:left="720"/>
    </w:pPr>
    <w:rPr>
      <w:sz w:val="20"/>
      <w:szCs w:val="20"/>
    </w:rPr>
  </w:style>
  <w:style w:type="paragraph" w:styleId="TOC5">
    <w:name w:val="toc 5"/>
    <w:basedOn w:val="Normal"/>
    <w:next w:val="Normal"/>
    <w:autoRedefine/>
    <w:uiPriority w:val="39"/>
    <w:unhideWhenUsed/>
    <w:rsid w:val="00A451A1"/>
    <w:pPr>
      <w:ind w:left="960"/>
    </w:pPr>
    <w:rPr>
      <w:sz w:val="20"/>
      <w:szCs w:val="20"/>
    </w:rPr>
  </w:style>
  <w:style w:type="paragraph" w:styleId="TOC6">
    <w:name w:val="toc 6"/>
    <w:basedOn w:val="Normal"/>
    <w:next w:val="Normal"/>
    <w:autoRedefine/>
    <w:uiPriority w:val="39"/>
    <w:unhideWhenUsed/>
    <w:rsid w:val="00A451A1"/>
    <w:pPr>
      <w:ind w:left="1200"/>
    </w:pPr>
    <w:rPr>
      <w:sz w:val="20"/>
      <w:szCs w:val="20"/>
    </w:rPr>
  </w:style>
  <w:style w:type="paragraph" w:styleId="TOC7">
    <w:name w:val="toc 7"/>
    <w:basedOn w:val="Normal"/>
    <w:next w:val="Normal"/>
    <w:autoRedefine/>
    <w:uiPriority w:val="39"/>
    <w:unhideWhenUsed/>
    <w:rsid w:val="00A451A1"/>
    <w:pPr>
      <w:ind w:left="1440"/>
    </w:pPr>
    <w:rPr>
      <w:sz w:val="20"/>
      <w:szCs w:val="20"/>
    </w:rPr>
  </w:style>
  <w:style w:type="paragraph" w:styleId="TOC8">
    <w:name w:val="toc 8"/>
    <w:basedOn w:val="Normal"/>
    <w:next w:val="Normal"/>
    <w:autoRedefine/>
    <w:uiPriority w:val="39"/>
    <w:unhideWhenUsed/>
    <w:rsid w:val="00A451A1"/>
    <w:pPr>
      <w:ind w:left="1680"/>
    </w:pPr>
    <w:rPr>
      <w:sz w:val="20"/>
      <w:szCs w:val="20"/>
    </w:rPr>
  </w:style>
  <w:style w:type="paragraph" w:styleId="TOC9">
    <w:name w:val="toc 9"/>
    <w:basedOn w:val="Normal"/>
    <w:next w:val="Normal"/>
    <w:autoRedefine/>
    <w:uiPriority w:val="39"/>
    <w:unhideWhenUsed/>
    <w:rsid w:val="00A451A1"/>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8EB09-C445-284E-9EED-28212AC76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2758</Words>
  <Characters>15722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3674</dc:creator>
  <cp:keywords/>
  <dc:description/>
  <cp:lastModifiedBy>3674</cp:lastModifiedBy>
  <cp:revision>2</cp:revision>
  <dcterms:created xsi:type="dcterms:W3CDTF">2022-05-02T17:11:00Z</dcterms:created>
  <dcterms:modified xsi:type="dcterms:W3CDTF">2022-05-02T19:15:00Z</dcterms:modified>
</cp:coreProperties>
</file>